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E2AE0" w14:textId="77777777" w:rsidR="00E5395E" w:rsidRDefault="00E5395E">
      <w:pPr>
        <w:spacing w:after="0" w:line="240" w:lineRule="auto"/>
        <w:rPr>
          <w:rFonts w:ascii="Arial" w:eastAsia="Arial" w:hAnsi="Arial" w:cs="Arial"/>
          <w:b/>
          <w:sz w:val="36"/>
          <w:szCs w:val="36"/>
        </w:rPr>
      </w:pPr>
      <w:bookmarkStart w:id="0" w:name="_heading=h.3aj2fekh9cwp" w:colFirst="0" w:colLast="0"/>
      <w:bookmarkEnd w:id="0"/>
    </w:p>
    <w:p w14:paraId="65DE8359" w14:textId="741A1067" w:rsidR="00B97C18" w:rsidRPr="00B97C18" w:rsidRDefault="00B97C18" w:rsidP="006A6A18">
      <w:pPr>
        <w:jc w:val="center"/>
        <w:rPr>
          <w:rFonts w:ascii="Arial" w:eastAsia="Arial" w:hAnsi="Arial" w:cs="Arial"/>
          <w:b/>
          <w:sz w:val="32"/>
          <w:szCs w:val="32"/>
        </w:rPr>
      </w:pPr>
      <w:bookmarkStart w:id="1" w:name="_heading=h.bf6mf95bvp6t" w:colFirst="0" w:colLast="0"/>
      <w:bookmarkEnd w:id="1"/>
      <w:r w:rsidRPr="00B97C18">
        <w:rPr>
          <w:rFonts w:ascii="Arial" w:eastAsia="Arial" w:hAnsi="Arial" w:cs="Arial"/>
          <w:b/>
          <w:sz w:val="32"/>
          <w:szCs w:val="32"/>
        </w:rPr>
        <w:t xml:space="preserve">Women in Banking analiza el reto generacional en </w:t>
      </w:r>
      <w:r w:rsidR="00341D36">
        <w:rPr>
          <w:rFonts w:ascii="Arial" w:eastAsia="Arial" w:hAnsi="Arial" w:cs="Arial"/>
          <w:b/>
          <w:sz w:val="32"/>
          <w:szCs w:val="32"/>
        </w:rPr>
        <w:t>el sector financiero</w:t>
      </w:r>
      <w:r w:rsidRPr="00B97C18">
        <w:rPr>
          <w:rFonts w:ascii="Arial" w:eastAsia="Arial" w:hAnsi="Arial" w:cs="Arial"/>
          <w:b/>
          <w:sz w:val="32"/>
          <w:szCs w:val="32"/>
        </w:rPr>
        <w:t xml:space="preserve"> </w:t>
      </w:r>
    </w:p>
    <w:p w14:paraId="7C7E2AE2" w14:textId="77777777" w:rsidR="00E5395E" w:rsidRDefault="00E5395E">
      <w:pPr>
        <w:spacing w:after="0" w:line="240" w:lineRule="auto"/>
        <w:jc w:val="both"/>
        <w:rPr>
          <w:rFonts w:ascii="Arial" w:eastAsia="Arial" w:hAnsi="Arial" w:cs="Arial"/>
          <w:sz w:val="20"/>
          <w:szCs w:val="20"/>
        </w:rPr>
      </w:pPr>
    </w:p>
    <w:p w14:paraId="5D616895" w14:textId="6825BADE" w:rsidR="00341D36" w:rsidRPr="004D239C" w:rsidRDefault="004D239C" w:rsidP="00503D24">
      <w:pPr>
        <w:pStyle w:val="Prrafodelista"/>
        <w:numPr>
          <w:ilvl w:val="0"/>
          <w:numId w:val="2"/>
        </w:numPr>
        <w:jc w:val="both"/>
        <w:rPr>
          <w:rFonts w:ascii="Arial" w:eastAsia="Arial" w:hAnsi="Arial" w:cs="Arial"/>
          <w:i/>
          <w:color w:val="000000"/>
          <w:sz w:val="20"/>
          <w:szCs w:val="20"/>
        </w:rPr>
      </w:pPr>
      <w:r w:rsidRPr="004D239C">
        <w:rPr>
          <w:rFonts w:ascii="Arial" w:eastAsia="Arial" w:hAnsi="Arial" w:cs="Arial"/>
          <w:i/>
          <w:color w:val="000000"/>
          <w:sz w:val="20"/>
          <w:szCs w:val="20"/>
        </w:rPr>
        <w:t>En el evento,</w:t>
      </w:r>
      <w:r w:rsidR="0084333C">
        <w:rPr>
          <w:rFonts w:ascii="Arial" w:eastAsia="Arial" w:hAnsi="Arial" w:cs="Arial"/>
          <w:i/>
          <w:color w:val="000000"/>
          <w:sz w:val="20"/>
          <w:szCs w:val="20"/>
        </w:rPr>
        <w:t xml:space="preserve"> celebrado en Barcelona,</w:t>
      </w:r>
      <w:r w:rsidRPr="004D239C">
        <w:rPr>
          <w:rFonts w:ascii="Arial" w:eastAsia="Arial" w:hAnsi="Arial" w:cs="Arial"/>
          <w:i/>
          <w:color w:val="000000"/>
          <w:sz w:val="20"/>
          <w:szCs w:val="20"/>
        </w:rPr>
        <w:t xml:space="preserve"> líderes de Randstad, Banco Sabadell y CaixaBank</w:t>
      </w:r>
      <w:r w:rsidR="00341D36" w:rsidRPr="004D239C">
        <w:rPr>
          <w:rFonts w:ascii="Arial" w:eastAsia="Arial" w:hAnsi="Arial" w:cs="Arial"/>
          <w:i/>
          <w:color w:val="000000"/>
          <w:sz w:val="20"/>
          <w:szCs w:val="20"/>
        </w:rPr>
        <w:t xml:space="preserve"> ha</w:t>
      </w:r>
      <w:r w:rsidRPr="004D239C">
        <w:rPr>
          <w:rFonts w:ascii="Arial" w:eastAsia="Arial" w:hAnsi="Arial" w:cs="Arial"/>
          <w:i/>
          <w:color w:val="000000"/>
          <w:sz w:val="20"/>
          <w:szCs w:val="20"/>
        </w:rPr>
        <w:t>n</w:t>
      </w:r>
      <w:r w:rsidR="00341D36" w:rsidRPr="004D239C">
        <w:rPr>
          <w:rFonts w:ascii="Arial" w:eastAsia="Arial" w:hAnsi="Arial" w:cs="Arial"/>
          <w:i/>
          <w:color w:val="000000"/>
          <w:sz w:val="20"/>
          <w:szCs w:val="20"/>
        </w:rPr>
        <w:t xml:space="preserve"> profundizado en </w:t>
      </w:r>
      <w:r w:rsidRPr="004D239C">
        <w:rPr>
          <w:rFonts w:ascii="Arial" w:eastAsia="Arial" w:hAnsi="Arial" w:cs="Arial"/>
          <w:i/>
          <w:color w:val="000000"/>
          <w:sz w:val="20"/>
          <w:szCs w:val="20"/>
        </w:rPr>
        <w:t>los desafíos derivados</w:t>
      </w:r>
      <w:r w:rsidR="00341D36" w:rsidRPr="004D239C">
        <w:rPr>
          <w:rFonts w:ascii="Arial" w:eastAsia="Arial" w:hAnsi="Arial" w:cs="Arial"/>
          <w:i/>
          <w:color w:val="000000"/>
          <w:sz w:val="20"/>
          <w:szCs w:val="20"/>
        </w:rPr>
        <w:t xml:space="preserve"> </w:t>
      </w:r>
      <w:r w:rsidRPr="004D239C">
        <w:rPr>
          <w:rFonts w:ascii="Arial" w:eastAsia="Arial" w:hAnsi="Arial" w:cs="Arial"/>
          <w:i/>
          <w:color w:val="000000"/>
          <w:sz w:val="20"/>
          <w:szCs w:val="20"/>
        </w:rPr>
        <w:t>d</w:t>
      </w:r>
      <w:r w:rsidR="00341D36" w:rsidRPr="004D239C">
        <w:rPr>
          <w:rFonts w:ascii="Arial" w:eastAsia="Arial" w:hAnsi="Arial" w:cs="Arial"/>
          <w:i/>
          <w:color w:val="000000"/>
          <w:sz w:val="20"/>
          <w:szCs w:val="20"/>
        </w:rPr>
        <w:t>el relevo generacional en el sector</w:t>
      </w:r>
    </w:p>
    <w:p w14:paraId="7C7E2AE4" w14:textId="77777777" w:rsidR="00E5395E" w:rsidRDefault="00E5395E">
      <w:pPr>
        <w:spacing w:after="0" w:line="240" w:lineRule="auto"/>
        <w:jc w:val="both"/>
        <w:rPr>
          <w:rFonts w:ascii="Arial" w:eastAsia="Arial" w:hAnsi="Arial" w:cs="Arial"/>
          <w:sz w:val="20"/>
          <w:szCs w:val="20"/>
        </w:rPr>
      </w:pPr>
    </w:p>
    <w:p w14:paraId="3C382675" w14:textId="6340D143" w:rsidR="00EA5CE4" w:rsidRPr="00EA5CE4" w:rsidRDefault="006A6A18" w:rsidP="00EA5CE4">
      <w:pPr>
        <w:spacing w:after="0"/>
        <w:jc w:val="both"/>
        <w:rPr>
          <w:rFonts w:ascii="Arial" w:eastAsia="Arial" w:hAnsi="Arial" w:cs="Arial"/>
          <w:sz w:val="20"/>
          <w:szCs w:val="20"/>
        </w:rPr>
      </w:pPr>
      <w:bookmarkStart w:id="2" w:name="_heading=h.qu6oiqaed8fv" w:colFirst="0" w:colLast="0"/>
      <w:bookmarkEnd w:id="2"/>
      <w:r>
        <w:rPr>
          <w:rFonts w:ascii="Arial" w:eastAsia="Arial" w:hAnsi="Arial" w:cs="Arial"/>
          <w:b/>
          <w:sz w:val="20"/>
          <w:szCs w:val="20"/>
        </w:rPr>
        <w:t xml:space="preserve">Madrid, </w:t>
      </w:r>
      <w:r w:rsidR="00756FBF">
        <w:rPr>
          <w:rFonts w:ascii="Arial" w:eastAsia="Arial" w:hAnsi="Arial" w:cs="Arial"/>
          <w:b/>
          <w:sz w:val="20"/>
          <w:szCs w:val="20"/>
        </w:rPr>
        <w:t>24</w:t>
      </w:r>
      <w:r>
        <w:rPr>
          <w:rFonts w:ascii="Arial" w:eastAsia="Arial" w:hAnsi="Arial" w:cs="Arial"/>
          <w:b/>
          <w:sz w:val="20"/>
          <w:szCs w:val="20"/>
        </w:rPr>
        <w:t xml:space="preserve"> de </w:t>
      </w:r>
      <w:r w:rsidR="00EA5CE4">
        <w:rPr>
          <w:rFonts w:ascii="Arial" w:eastAsia="Arial" w:hAnsi="Arial" w:cs="Arial"/>
          <w:b/>
          <w:sz w:val="20"/>
          <w:szCs w:val="20"/>
        </w:rPr>
        <w:t>septiembre</w:t>
      </w:r>
      <w:r>
        <w:rPr>
          <w:rFonts w:ascii="Arial" w:eastAsia="Arial" w:hAnsi="Arial" w:cs="Arial"/>
          <w:b/>
          <w:sz w:val="20"/>
          <w:szCs w:val="20"/>
        </w:rPr>
        <w:t xml:space="preserve"> de 2025 – </w:t>
      </w:r>
      <w:r w:rsidR="00EA5CE4" w:rsidRPr="00EA5CE4">
        <w:rPr>
          <w:rFonts w:ascii="Arial" w:eastAsia="Arial" w:hAnsi="Arial" w:cs="Arial"/>
          <w:sz w:val="20"/>
          <w:szCs w:val="20"/>
        </w:rPr>
        <w:t xml:space="preserve">La asociación </w:t>
      </w:r>
      <w:hyperlink r:id="rId11" w:history="1">
        <w:r w:rsidR="00EA5CE4" w:rsidRPr="00B97C18">
          <w:rPr>
            <w:rStyle w:val="Hipervnculo"/>
            <w:rFonts w:ascii="Arial" w:eastAsia="Arial" w:hAnsi="Arial" w:cs="Arial"/>
            <w:sz w:val="20"/>
            <w:szCs w:val="20"/>
          </w:rPr>
          <w:t>Women in Banking</w:t>
        </w:r>
      </w:hyperlink>
      <w:r w:rsidR="00EA5CE4" w:rsidRPr="00EA5CE4">
        <w:rPr>
          <w:rFonts w:ascii="Arial" w:eastAsia="Arial" w:hAnsi="Arial" w:cs="Arial"/>
          <w:sz w:val="20"/>
          <w:szCs w:val="20"/>
        </w:rPr>
        <w:t xml:space="preserve"> (WIB) ha reunido a expertos de referencia en Barcelona para debatir sobre uno de los mayores retos de las organizaciones hoy: el reto generacional y la adaptación necesaria de las empresas para atraer y conectar con el talento.</w:t>
      </w:r>
    </w:p>
    <w:p w14:paraId="51282960" w14:textId="77777777" w:rsidR="00EA5CE4" w:rsidRPr="00EA5CE4" w:rsidRDefault="00EA5CE4" w:rsidP="00EA5CE4">
      <w:pPr>
        <w:spacing w:after="0"/>
        <w:jc w:val="both"/>
        <w:rPr>
          <w:rFonts w:ascii="Arial" w:eastAsia="Arial" w:hAnsi="Arial" w:cs="Arial"/>
          <w:sz w:val="20"/>
          <w:szCs w:val="20"/>
        </w:rPr>
      </w:pPr>
    </w:p>
    <w:p w14:paraId="0CC81DAC" w14:textId="258E25A0" w:rsidR="00EA5CE4" w:rsidRPr="00EA5CE4" w:rsidRDefault="00EA5CE4" w:rsidP="00EA5CE4">
      <w:pPr>
        <w:spacing w:after="0"/>
        <w:jc w:val="both"/>
        <w:rPr>
          <w:rFonts w:ascii="Arial" w:eastAsia="Arial" w:hAnsi="Arial" w:cs="Arial"/>
          <w:sz w:val="20"/>
          <w:szCs w:val="20"/>
        </w:rPr>
      </w:pPr>
      <w:r w:rsidRPr="00EA5CE4">
        <w:rPr>
          <w:rFonts w:ascii="Arial" w:eastAsia="Arial" w:hAnsi="Arial" w:cs="Arial"/>
          <w:sz w:val="20"/>
          <w:szCs w:val="20"/>
        </w:rPr>
        <w:t xml:space="preserve">Bajo el título “El reto generacional en la empresa: Adaptarse para conectar con el talento”, la mesa redonda contó con la participación de Marta Ferreiro, </w:t>
      </w:r>
      <w:proofErr w:type="gramStart"/>
      <w:r w:rsidRPr="00EA5CE4">
        <w:rPr>
          <w:rFonts w:ascii="Arial" w:eastAsia="Arial" w:hAnsi="Arial" w:cs="Arial"/>
          <w:sz w:val="20"/>
          <w:szCs w:val="20"/>
        </w:rPr>
        <w:t>Directora Nacional</w:t>
      </w:r>
      <w:proofErr w:type="gramEnd"/>
      <w:r w:rsidRPr="00EA5CE4">
        <w:rPr>
          <w:rFonts w:ascii="Arial" w:eastAsia="Arial" w:hAnsi="Arial" w:cs="Arial"/>
          <w:sz w:val="20"/>
          <w:szCs w:val="20"/>
        </w:rPr>
        <w:t xml:space="preserve"> de Cuentas Estratégicas de Randstad; Federico González, </w:t>
      </w:r>
      <w:proofErr w:type="gramStart"/>
      <w:r w:rsidRPr="00EA5CE4">
        <w:rPr>
          <w:rFonts w:ascii="Arial" w:eastAsia="Arial" w:hAnsi="Arial" w:cs="Arial"/>
          <w:sz w:val="20"/>
          <w:szCs w:val="20"/>
        </w:rPr>
        <w:t>Director</w:t>
      </w:r>
      <w:proofErr w:type="gramEnd"/>
      <w:r w:rsidRPr="00EA5CE4">
        <w:rPr>
          <w:rFonts w:ascii="Arial" w:eastAsia="Arial" w:hAnsi="Arial" w:cs="Arial"/>
          <w:sz w:val="20"/>
          <w:szCs w:val="20"/>
        </w:rPr>
        <w:t xml:space="preserve"> Corporativo de Talento y Cultura de Banco Sabadell; y Mireia Lizano Pérez, responsable de </w:t>
      </w:r>
      <w:r w:rsidR="00323D97" w:rsidRPr="00323D97">
        <w:rPr>
          <w:rFonts w:ascii="Arial" w:eastAsia="Arial" w:hAnsi="Arial" w:cs="Arial"/>
          <w:sz w:val="20"/>
          <w:szCs w:val="20"/>
        </w:rPr>
        <w:t xml:space="preserve">Propuesta de Valor Segmento Senior </w:t>
      </w:r>
      <w:r w:rsidRPr="00EA5CE4">
        <w:rPr>
          <w:rFonts w:ascii="Arial" w:eastAsia="Arial" w:hAnsi="Arial" w:cs="Arial"/>
          <w:sz w:val="20"/>
          <w:szCs w:val="20"/>
        </w:rPr>
        <w:t>de CaixaBank.</w:t>
      </w:r>
    </w:p>
    <w:p w14:paraId="74270222" w14:textId="77777777" w:rsidR="00EA5CE4" w:rsidRPr="00EA5CE4" w:rsidRDefault="00EA5CE4" w:rsidP="00EA5CE4">
      <w:pPr>
        <w:spacing w:after="0"/>
        <w:jc w:val="both"/>
        <w:rPr>
          <w:rFonts w:ascii="Arial" w:eastAsia="Arial" w:hAnsi="Arial" w:cs="Arial"/>
          <w:sz w:val="20"/>
          <w:szCs w:val="20"/>
        </w:rPr>
      </w:pPr>
    </w:p>
    <w:p w14:paraId="1789CA77" w14:textId="77777777" w:rsidR="00EA5CE4" w:rsidRPr="00EA5CE4" w:rsidRDefault="00EA5CE4" w:rsidP="00EA5CE4">
      <w:pPr>
        <w:spacing w:after="0"/>
        <w:jc w:val="both"/>
        <w:rPr>
          <w:rFonts w:ascii="Arial" w:eastAsia="Arial" w:hAnsi="Arial" w:cs="Arial"/>
          <w:sz w:val="20"/>
          <w:szCs w:val="20"/>
        </w:rPr>
      </w:pPr>
      <w:r w:rsidRPr="00EA5CE4">
        <w:rPr>
          <w:rFonts w:ascii="Arial" w:eastAsia="Arial" w:hAnsi="Arial" w:cs="Arial"/>
          <w:sz w:val="20"/>
          <w:szCs w:val="20"/>
        </w:rPr>
        <w:t>Durante el encuentro, los ponentes coincidieron en que la gestión del relevo generacional será clave en los próximos años ante un mercado laboral marcado por el envejecimiento de la población activa y la escasez de talento disponible. “Estamos en un momento interesante de transformación del mercado. Según un estudio de Randstad, por cada 100 personas que se van a jubilar, se van a incorporar 94. En 2050, 84. La transformación tecnológica traerá oportunidades nuevas que se traducirán en nuevos puestos de trabajo”, apuntó Marta Ferreiro.</w:t>
      </w:r>
    </w:p>
    <w:p w14:paraId="1C28F14D" w14:textId="77777777" w:rsidR="00EA5CE4" w:rsidRPr="00EA5CE4" w:rsidRDefault="00EA5CE4" w:rsidP="00EA5CE4">
      <w:pPr>
        <w:spacing w:after="0"/>
        <w:jc w:val="both"/>
        <w:rPr>
          <w:rFonts w:ascii="Arial" w:eastAsia="Arial" w:hAnsi="Arial" w:cs="Arial"/>
          <w:sz w:val="20"/>
          <w:szCs w:val="20"/>
        </w:rPr>
      </w:pPr>
    </w:p>
    <w:p w14:paraId="69BDE80B" w14:textId="77777777" w:rsidR="00EA5CE4" w:rsidRPr="00EA5CE4" w:rsidRDefault="00EA5CE4" w:rsidP="00EA5CE4">
      <w:pPr>
        <w:spacing w:after="0"/>
        <w:jc w:val="both"/>
        <w:rPr>
          <w:rFonts w:ascii="Arial" w:eastAsia="Arial" w:hAnsi="Arial" w:cs="Arial"/>
          <w:sz w:val="20"/>
          <w:szCs w:val="20"/>
        </w:rPr>
      </w:pPr>
      <w:proofErr w:type="gramStart"/>
      <w:r w:rsidRPr="00EA5CE4">
        <w:rPr>
          <w:rFonts w:ascii="Arial" w:eastAsia="Arial" w:hAnsi="Arial" w:cs="Arial"/>
          <w:sz w:val="20"/>
          <w:szCs w:val="20"/>
        </w:rPr>
        <w:t>En relación al</w:t>
      </w:r>
      <w:proofErr w:type="gramEnd"/>
      <w:r w:rsidRPr="00EA5CE4">
        <w:rPr>
          <w:rFonts w:ascii="Arial" w:eastAsia="Arial" w:hAnsi="Arial" w:cs="Arial"/>
          <w:sz w:val="20"/>
          <w:szCs w:val="20"/>
        </w:rPr>
        <w:t xml:space="preserve"> papel de la empresa, Federico González destacó la importancia de crear culturas corporativas que incentiven la mejora continua y la flexibilidad: “Las empresas tenemos que ver cómo utilizamos las habilidades de cada generación, teniendo en cuenta el rango de edad y momento del ciclo vital del empleado. Las organizaciones debemos ser capaces de crear una cultura que incentive la mejora continua, que rete a las personas”.</w:t>
      </w:r>
    </w:p>
    <w:p w14:paraId="357BDC5E" w14:textId="77777777" w:rsidR="00EA5CE4" w:rsidRPr="00EA5CE4" w:rsidRDefault="00EA5CE4" w:rsidP="00EA5CE4">
      <w:pPr>
        <w:spacing w:after="0"/>
        <w:jc w:val="both"/>
        <w:rPr>
          <w:rFonts w:ascii="Arial" w:eastAsia="Arial" w:hAnsi="Arial" w:cs="Arial"/>
          <w:sz w:val="20"/>
          <w:szCs w:val="20"/>
        </w:rPr>
      </w:pPr>
    </w:p>
    <w:p w14:paraId="6BC1CAFA" w14:textId="77777777" w:rsidR="00EA5CE4" w:rsidRPr="00EA5CE4" w:rsidRDefault="00EA5CE4" w:rsidP="00EA5CE4">
      <w:pPr>
        <w:spacing w:after="0"/>
        <w:jc w:val="both"/>
        <w:rPr>
          <w:rFonts w:ascii="Arial" w:eastAsia="Arial" w:hAnsi="Arial" w:cs="Arial"/>
          <w:sz w:val="20"/>
          <w:szCs w:val="20"/>
        </w:rPr>
      </w:pPr>
      <w:r w:rsidRPr="00EA5CE4">
        <w:rPr>
          <w:rFonts w:ascii="Arial" w:eastAsia="Arial" w:hAnsi="Arial" w:cs="Arial"/>
          <w:sz w:val="20"/>
          <w:szCs w:val="20"/>
        </w:rPr>
        <w:t>Desde CaixaBank, Mireia Lizano subrayó que la labor del sector bancario pasa por estar al lado de los clientes en los momentos clave de su vida, así como comprender sus necesidades a través de equipos formados y empáticos: “El principal motivo para elegir la entidad financiera sigue siendo la proximidad. Además de conocer sus necesidades y tener empleados formados para entenderlas y aportar soluciones”.</w:t>
      </w:r>
    </w:p>
    <w:p w14:paraId="0494C7F1" w14:textId="77777777" w:rsidR="00EA5CE4" w:rsidRPr="00EA5CE4" w:rsidRDefault="00EA5CE4" w:rsidP="00EA5CE4">
      <w:pPr>
        <w:spacing w:after="0"/>
        <w:jc w:val="both"/>
        <w:rPr>
          <w:rFonts w:ascii="Arial" w:eastAsia="Arial" w:hAnsi="Arial" w:cs="Arial"/>
          <w:sz w:val="20"/>
          <w:szCs w:val="20"/>
        </w:rPr>
      </w:pPr>
    </w:p>
    <w:p w14:paraId="5AC72A69" w14:textId="77777777" w:rsidR="00EA5CE4" w:rsidRPr="003150EB" w:rsidRDefault="00EA5CE4" w:rsidP="00EA5CE4">
      <w:pPr>
        <w:spacing w:after="0"/>
        <w:jc w:val="both"/>
        <w:rPr>
          <w:rFonts w:ascii="Arial" w:eastAsia="Arial" w:hAnsi="Arial" w:cs="Arial"/>
          <w:b/>
          <w:bCs/>
          <w:sz w:val="20"/>
          <w:szCs w:val="20"/>
        </w:rPr>
      </w:pPr>
      <w:r w:rsidRPr="003150EB">
        <w:rPr>
          <w:rFonts w:ascii="Arial" w:eastAsia="Arial" w:hAnsi="Arial" w:cs="Arial"/>
          <w:b/>
          <w:bCs/>
          <w:sz w:val="20"/>
          <w:szCs w:val="20"/>
        </w:rPr>
        <w:t>Atractivo del sector y retos para el talento joven y femenino</w:t>
      </w:r>
    </w:p>
    <w:p w14:paraId="25B2F163" w14:textId="77777777" w:rsidR="00EA5CE4" w:rsidRPr="00EA5CE4" w:rsidRDefault="00EA5CE4" w:rsidP="00EA5CE4">
      <w:pPr>
        <w:spacing w:after="0"/>
        <w:jc w:val="both"/>
        <w:rPr>
          <w:rFonts w:ascii="Arial" w:eastAsia="Arial" w:hAnsi="Arial" w:cs="Arial"/>
          <w:sz w:val="20"/>
          <w:szCs w:val="20"/>
        </w:rPr>
      </w:pPr>
    </w:p>
    <w:p w14:paraId="5CE32460" w14:textId="77777777" w:rsidR="00EA5CE4" w:rsidRPr="00EA5CE4" w:rsidRDefault="00EA5CE4" w:rsidP="00EA5CE4">
      <w:pPr>
        <w:spacing w:after="0"/>
        <w:jc w:val="both"/>
        <w:rPr>
          <w:rFonts w:ascii="Arial" w:eastAsia="Arial" w:hAnsi="Arial" w:cs="Arial"/>
          <w:sz w:val="20"/>
          <w:szCs w:val="20"/>
        </w:rPr>
      </w:pPr>
      <w:r w:rsidRPr="00EA5CE4">
        <w:rPr>
          <w:rFonts w:ascii="Arial" w:eastAsia="Arial" w:hAnsi="Arial" w:cs="Arial"/>
          <w:sz w:val="20"/>
          <w:szCs w:val="20"/>
        </w:rPr>
        <w:t xml:space="preserve">Durante el debate, se abordó también cómo las necesidades y expectativas del talento joven y femenino han redefinido el atractivo del sector bancario. “Los jóvenes buscan un propósito, valores, conciliar. Quieren tener una vida después del trabajo. Para la generación Z la banca tradicional no es atractiva. Para las mujeres, especialmente </w:t>
      </w:r>
      <w:proofErr w:type="gramStart"/>
      <w:r w:rsidRPr="00EA5CE4">
        <w:rPr>
          <w:rFonts w:ascii="Arial" w:eastAsia="Arial" w:hAnsi="Arial" w:cs="Arial"/>
          <w:sz w:val="20"/>
          <w:szCs w:val="20"/>
        </w:rPr>
        <w:t>las más senior</w:t>
      </w:r>
      <w:proofErr w:type="gramEnd"/>
      <w:r w:rsidRPr="00EA5CE4">
        <w:rPr>
          <w:rFonts w:ascii="Arial" w:eastAsia="Arial" w:hAnsi="Arial" w:cs="Arial"/>
          <w:sz w:val="20"/>
          <w:szCs w:val="20"/>
        </w:rPr>
        <w:t>, la banca es más atractiva por conciliación, reputación e igualdad”, señaló Ferreiro.</w:t>
      </w:r>
    </w:p>
    <w:p w14:paraId="10F766AC" w14:textId="77777777" w:rsidR="00EA5CE4" w:rsidRPr="00EA5CE4" w:rsidRDefault="00EA5CE4" w:rsidP="00EA5CE4">
      <w:pPr>
        <w:spacing w:after="0"/>
        <w:jc w:val="both"/>
        <w:rPr>
          <w:rFonts w:ascii="Arial" w:eastAsia="Arial" w:hAnsi="Arial" w:cs="Arial"/>
          <w:sz w:val="20"/>
          <w:szCs w:val="20"/>
        </w:rPr>
      </w:pPr>
    </w:p>
    <w:p w14:paraId="7E2A8842" w14:textId="77777777" w:rsidR="00EA5CE4" w:rsidRPr="003150EB" w:rsidRDefault="00EA5CE4" w:rsidP="00EA5CE4">
      <w:pPr>
        <w:spacing w:after="0"/>
        <w:jc w:val="both"/>
        <w:rPr>
          <w:rFonts w:ascii="Arial" w:eastAsia="Arial" w:hAnsi="Arial" w:cs="Arial"/>
          <w:b/>
          <w:bCs/>
          <w:sz w:val="20"/>
          <w:szCs w:val="20"/>
        </w:rPr>
      </w:pPr>
      <w:r w:rsidRPr="003150EB">
        <w:rPr>
          <w:rFonts w:ascii="Arial" w:eastAsia="Arial" w:hAnsi="Arial" w:cs="Arial"/>
          <w:b/>
          <w:bCs/>
          <w:sz w:val="20"/>
          <w:szCs w:val="20"/>
        </w:rPr>
        <w:t>La gestión de carreras y el valor intergeneracional</w:t>
      </w:r>
    </w:p>
    <w:p w14:paraId="40BA3986" w14:textId="77777777" w:rsidR="00EA5CE4" w:rsidRPr="00EA5CE4" w:rsidRDefault="00EA5CE4" w:rsidP="00EA5CE4">
      <w:pPr>
        <w:spacing w:after="0"/>
        <w:jc w:val="both"/>
        <w:rPr>
          <w:rFonts w:ascii="Arial" w:eastAsia="Arial" w:hAnsi="Arial" w:cs="Arial"/>
          <w:sz w:val="20"/>
          <w:szCs w:val="20"/>
        </w:rPr>
      </w:pPr>
    </w:p>
    <w:p w14:paraId="433D92BC" w14:textId="77777777" w:rsidR="00EA5CE4" w:rsidRPr="00EA5CE4" w:rsidRDefault="00EA5CE4" w:rsidP="00EA5CE4">
      <w:pPr>
        <w:spacing w:after="0"/>
        <w:jc w:val="both"/>
        <w:rPr>
          <w:rFonts w:ascii="Arial" w:eastAsia="Arial" w:hAnsi="Arial" w:cs="Arial"/>
          <w:sz w:val="20"/>
          <w:szCs w:val="20"/>
        </w:rPr>
      </w:pPr>
      <w:r w:rsidRPr="00EA5CE4">
        <w:rPr>
          <w:rFonts w:ascii="Arial" w:eastAsia="Arial" w:hAnsi="Arial" w:cs="Arial"/>
          <w:sz w:val="20"/>
          <w:szCs w:val="20"/>
        </w:rPr>
        <w:t xml:space="preserve">Fomentar equipos multidisciplinares e intergeneracionales fue otra de las recomendaciones de la jornada. “Hay que cuidar al talento senior, ayudando desde las organizaciones a </w:t>
      </w:r>
      <w:proofErr w:type="spellStart"/>
      <w:r w:rsidRPr="00EA5CE4">
        <w:rPr>
          <w:rFonts w:ascii="Arial" w:eastAsia="Arial" w:hAnsi="Arial" w:cs="Arial"/>
          <w:sz w:val="20"/>
          <w:szCs w:val="20"/>
        </w:rPr>
        <w:t>recualificarse</w:t>
      </w:r>
      <w:proofErr w:type="spellEnd"/>
      <w:r w:rsidRPr="00EA5CE4">
        <w:rPr>
          <w:rFonts w:ascii="Arial" w:eastAsia="Arial" w:hAnsi="Arial" w:cs="Arial"/>
          <w:sz w:val="20"/>
          <w:szCs w:val="20"/>
        </w:rPr>
        <w:t xml:space="preserve">. </w:t>
      </w:r>
      <w:r w:rsidRPr="00EA5CE4">
        <w:rPr>
          <w:rFonts w:ascii="Arial" w:eastAsia="Arial" w:hAnsi="Arial" w:cs="Arial"/>
          <w:sz w:val="20"/>
          <w:szCs w:val="20"/>
        </w:rPr>
        <w:lastRenderedPageBreak/>
        <w:t>Crear equipos multidisciplinares en una misma empresa que combine la innovación del talento más junior con la experiencia del talento senior”, concluyó Ferreiro.</w:t>
      </w:r>
    </w:p>
    <w:p w14:paraId="2C3313F5" w14:textId="77777777" w:rsidR="00EA5CE4" w:rsidRPr="00EA5CE4" w:rsidRDefault="00EA5CE4" w:rsidP="00EA5CE4">
      <w:pPr>
        <w:spacing w:after="0"/>
        <w:jc w:val="both"/>
        <w:rPr>
          <w:rFonts w:ascii="Arial" w:eastAsia="Arial" w:hAnsi="Arial" w:cs="Arial"/>
          <w:sz w:val="20"/>
          <w:szCs w:val="20"/>
        </w:rPr>
      </w:pPr>
    </w:p>
    <w:p w14:paraId="7C7E2AF4" w14:textId="3E9179CB" w:rsidR="00E5395E" w:rsidRDefault="00EA5CE4" w:rsidP="00EA5CE4">
      <w:pPr>
        <w:spacing w:after="0"/>
        <w:jc w:val="both"/>
        <w:rPr>
          <w:rFonts w:ascii="Arial" w:eastAsia="Arial" w:hAnsi="Arial" w:cs="Arial"/>
          <w:sz w:val="20"/>
          <w:szCs w:val="20"/>
        </w:rPr>
      </w:pPr>
      <w:r w:rsidRPr="00EA5CE4">
        <w:rPr>
          <w:rFonts w:ascii="Arial" w:eastAsia="Arial" w:hAnsi="Arial" w:cs="Arial"/>
          <w:sz w:val="20"/>
          <w:szCs w:val="20"/>
        </w:rPr>
        <w:t>Este encuentro, que ha contado con la colaboración de CaixaBank y Banco Sabadell como entidades organizadoras, forma parte del III Summit anual de Women in Banking, que por tercer año consecutivo se celebra en Barcelona. Durante la jornada, se han puesto sobre la mesa los retos estratégicos a los que WIB se enfrentará en los próximos años y cómo la asociación seguirá impulsando la diversidad, la igualdad y la atracción del mejor talento en el sector financiero.</w:t>
      </w:r>
    </w:p>
    <w:p w14:paraId="34529EC1" w14:textId="77777777" w:rsidR="003150EB" w:rsidRDefault="003150EB" w:rsidP="00EA5CE4">
      <w:pPr>
        <w:spacing w:after="0"/>
        <w:jc w:val="both"/>
        <w:rPr>
          <w:rFonts w:ascii="Arial" w:eastAsia="Arial" w:hAnsi="Arial" w:cs="Arial"/>
          <w:sz w:val="20"/>
          <w:szCs w:val="20"/>
        </w:rPr>
      </w:pPr>
    </w:p>
    <w:p w14:paraId="7C7E2AF5" w14:textId="77777777" w:rsidR="00E5395E" w:rsidRDefault="00E5395E">
      <w:pPr>
        <w:spacing w:after="0"/>
        <w:jc w:val="both"/>
        <w:rPr>
          <w:rFonts w:ascii="Arial" w:eastAsia="Arial" w:hAnsi="Arial" w:cs="Arial"/>
          <w:color w:val="242424"/>
          <w:sz w:val="20"/>
          <w:szCs w:val="20"/>
        </w:rPr>
      </w:pPr>
    </w:p>
    <w:p w14:paraId="7C7E2AF6" w14:textId="77777777" w:rsidR="00E5395E" w:rsidRDefault="006A6A18">
      <w:pPr>
        <w:rPr>
          <w:rFonts w:ascii="Arial" w:eastAsia="Arial" w:hAnsi="Arial" w:cs="Arial"/>
          <w:b/>
          <w:sz w:val="20"/>
          <w:szCs w:val="20"/>
        </w:rPr>
      </w:pPr>
      <w:r>
        <w:rPr>
          <w:rFonts w:ascii="Arial" w:eastAsia="Arial" w:hAnsi="Arial" w:cs="Arial"/>
          <w:b/>
          <w:sz w:val="20"/>
          <w:szCs w:val="20"/>
        </w:rPr>
        <w:t>Sobre Women in Banking</w:t>
      </w:r>
    </w:p>
    <w:p w14:paraId="7C7E2AF7" w14:textId="77777777" w:rsidR="00E5395E" w:rsidRPr="006F04EF" w:rsidRDefault="006A6A18">
      <w:pPr>
        <w:jc w:val="both"/>
        <w:rPr>
          <w:rFonts w:ascii="Arial" w:eastAsia="Arial" w:hAnsi="Arial" w:cs="Arial"/>
          <w:sz w:val="18"/>
          <w:szCs w:val="18"/>
        </w:rPr>
      </w:pPr>
      <w:r w:rsidRPr="006F04EF">
        <w:rPr>
          <w:rFonts w:ascii="Arial" w:eastAsia="Arial" w:hAnsi="Arial" w:cs="Arial"/>
          <w:sz w:val="18"/>
          <w:szCs w:val="18"/>
        </w:rPr>
        <w:t xml:space="preserve">Women in Banking nace con el propósito de liderar e impulsar el cambio concienciando sobre el valor de la mujer en los puestos de decisión en el ámbito de la banca en España. El objetivo de WIB es convertirse en un referente para el sector financiero en materia de diversidad e inclusión de la mujer, dando visibilidad al talento femenino e inspirando a las nuevas generaciones a través de modelos de referencia. </w:t>
      </w:r>
    </w:p>
    <w:p w14:paraId="7C7E2AF8" w14:textId="77777777" w:rsidR="00E5395E" w:rsidRPr="006F04EF" w:rsidRDefault="006A6A18">
      <w:pPr>
        <w:jc w:val="both"/>
        <w:rPr>
          <w:rFonts w:ascii="Arial" w:eastAsia="Arial" w:hAnsi="Arial" w:cs="Arial"/>
          <w:sz w:val="18"/>
          <w:szCs w:val="18"/>
        </w:rPr>
      </w:pPr>
      <w:r w:rsidRPr="006F04EF">
        <w:rPr>
          <w:rFonts w:ascii="Arial" w:eastAsia="Arial" w:hAnsi="Arial" w:cs="Arial"/>
          <w:sz w:val="18"/>
          <w:szCs w:val="18"/>
        </w:rPr>
        <w:t xml:space="preserve">La iniciativa fue lanzada en marzo de 2022 con el respaldo de 7 entidades financieras con presencia en España (Banco Sabadell, Banco Santander, BBVA, BNY (antes BNY Mellon), Citi, Deutsche Bank e ING) y de la Asociación Española de Banca (AEB). </w:t>
      </w:r>
    </w:p>
    <w:p w14:paraId="7C7E2AF9" w14:textId="77777777" w:rsidR="00E5395E" w:rsidRPr="006F04EF" w:rsidRDefault="006A6A18">
      <w:pPr>
        <w:jc w:val="both"/>
        <w:rPr>
          <w:rFonts w:ascii="Arial" w:eastAsia="Arial" w:hAnsi="Arial" w:cs="Arial"/>
          <w:sz w:val="18"/>
          <w:szCs w:val="18"/>
        </w:rPr>
      </w:pPr>
      <w:r w:rsidRPr="006F04EF">
        <w:rPr>
          <w:rFonts w:ascii="Arial" w:eastAsia="Arial" w:hAnsi="Arial" w:cs="Arial"/>
          <w:sz w:val="18"/>
          <w:szCs w:val="18"/>
        </w:rPr>
        <w:t xml:space="preserve">Hoy cuenta con el apoyo de 20 entidades entre las que están también Bank </w:t>
      </w:r>
      <w:proofErr w:type="spellStart"/>
      <w:r w:rsidRPr="006F04EF">
        <w:rPr>
          <w:rFonts w:ascii="Arial" w:eastAsia="Arial" w:hAnsi="Arial" w:cs="Arial"/>
          <w:sz w:val="18"/>
          <w:szCs w:val="18"/>
        </w:rPr>
        <w:t>of</w:t>
      </w:r>
      <w:proofErr w:type="spellEnd"/>
      <w:r w:rsidRPr="006F04EF">
        <w:rPr>
          <w:rFonts w:ascii="Arial" w:eastAsia="Arial" w:hAnsi="Arial" w:cs="Arial"/>
          <w:sz w:val="18"/>
          <w:szCs w:val="18"/>
        </w:rPr>
        <w:t xml:space="preserve"> </w:t>
      </w:r>
      <w:proofErr w:type="spellStart"/>
      <w:r w:rsidRPr="006F04EF">
        <w:rPr>
          <w:rFonts w:ascii="Arial" w:eastAsia="Arial" w:hAnsi="Arial" w:cs="Arial"/>
          <w:sz w:val="18"/>
          <w:szCs w:val="18"/>
        </w:rPr>
        <w:t>America</w:t>
      </w:r>
      <w:proofErr w:type="spellEnd"/>
      <w:r w:rsidRPr="006F04EF">
        <w:rPr>
          <w:rFonts w:ascii="Arial" w:eastAsia="Arial" w:hAnsi="Arial" w:cs="Arial"/>
          <w:sz w:val="18"/>
          <w:szCs w:val="18"/>
        </w:rPr>
        <w:t xml:space="preserve">, Barclays, CaixaBank, CNBK (antes Banco Caminos), </w:t>
      </w:r>
      <w:proofErr w:type="spellStart"/>
      <w:r w:rsidRPr="006F04EF">
        <w:rPr>
          <w:rFonts w:ascii="Arial" w:eastAsia="Arial" w:hAnsi="Arial" w:cs="Arial"/>
          <w:sz w:val="18"/>
          <w:szCs w:val="18"/>
        </w:rPr>
        <w:t>Crédit</w:t>
      </w:r>
      <w:proofErr w:type="spellEnd"/>
      <w:r w:rsidRPr="006F04EF">
        <w:rPr>
          <w:rFonts w:ascii="Arial" w:eastAsia="Arial" w:hAnsi="Arial" w:cs="Arial"/>
          <w:sz w:val="18"/>
          <w:szCs w:val="18"/>
        </w:rPr>
        <w:t xml:space="preserve"> </w:t>
      </w:r>
      <w:proofErr w:type="spellStart"/>
      <w:r w:rsidRPr="006F04EF">
        <w:rPr>
          <w:rFonts w:ascii="Arial" w:eastAsia="Arial" w:hAnsi="Arial" w:cs="Arial"/>
          <w:sz w:val="18"/>
          <w:szCs w:val="18"/>
        </w:rPr>
        <w:t>Agricole</w:t>
      </w:r>
      <w:proofErr w:type="spellEnd"/>
      <w:r w:rsidRPr="006F04EF">
        <w:rPr>
          <w:rFonts w:ascii="Arial" w:eastAsia="Arial" w:hAnsi="Arial" w:cs="Arial"/>
          <w:sz w:val="18"/>
          <w:szCs w:val="18"/>
        </w:rPr>
        <w:t>, Renta 4 banco, Société Générale y Singular Bank.</w:t>
      </w:r>
    </w:p>
    <w:p w14:paraId="7C7E2AFA" w14:textId="77777777" w:rsidR="00E5395E" w:rsidRPr="006F04EF" w:rsidRDefault="006A6A18">
      <w:pPr>
        <w:rPr>
          <w:rFonts w:ascii="Arial" w:eastAsia="Arial" w:hAnsi="Arial" w:cs="Arial"/>
          <w:sz w:val="18"/>
          <w:szCs w:val="18"/>
        </w:rPr>
      </w:pPr>
      <w:r w:rsidRPr="006F04EF">
        <w:rPr>
          <w:rFonts w:ascii="Arial" w:eastAsia="Arial" w:hAnsi="Arial" w:cs="Arial"/>
          <w:sz w:val="18"/>
          <w:szCs w:val="18"/>
        </w:rPr>
        <w:t xml:space="preserve">Más información en </w:t>
      </w:r>
      <w:hyperlink r:id="rId12">
        <w:r w:rsidR="00E5395E" w:rsidRPr="006F04EF">
          <w:rPr>
            <w:rFonts w:ascii="Arial" w:eastAsia="Arial" w:hAnsi="Arial" w:cs="Arial"/>
            <w:color w:val="467886"/>
            <w:sz w:val="18"/>
            <w:szCs w:val="18"/>
            <w:u w:val="single"/>
          </w:rPr>
          <w:t>https://womeninbankingspain.com/</w:t>
        </w:r>
      </w:hyperlink>
      <w:r w:rsidRPr="006F04EF">
        <w:rPr>
          <w:rFonts w:ascii="Arial" w:eastAsia="Arial" w:hAnsi="Arial" w:cs="Arial"/>
          <w:sz w:val="18"/>
          <w:szCs w:val="18"/>
        </w:rPr>
        <w:t xml:space="preserve"> </w:t>
      </w:r>
    </w:p>
    <w:p w14:paraId="7C7E2AFB" w14:textId="77777777" w:rsidR="00E5395E" w:rsidRPr="006F04EF" w:rsidRDefault="00E5395E">
      <w:pPr>
        <w:jc w:val="both"/>
        <w:rPr>
          <w:rFonts w:ascii="Arial" w:eastAsia="Arial" w:hAnsi="Arial" w:cs="Arial"/>
          <w:b/>
          <w:sz w:val="18"/>
          <w:szCs w:val="18"/>
        </w:rPr>
      </w:pPr>
    </w:p>
    <w:p w14:paraId="7C7E2AFC" w14:textId="77777777" w:rsidR="00E5395E" w:rsidRPr="006F04EF" w:rsidRDefault="006A6A18">
      <w:pPr>
        <w:jc w:val="both"/>
        <w:rPr>
          <w:rFonts w:ascii="Arial" w:eastAsia="Arial" w:hAnsi="Arial" w:cs="Arial"/>
          <w:b/>
          <w:sz w:val="18"/>
          <w:szCs w:val="18"/>
        </w:rPr>
      </w:pPr>
      <w:r w:rsidRPr="006F04EF">
        <w:rPr>
          <w:rFonts w:ascii="Arial" w:eastAsia="Arial" w:hAnsi="Arial" w:cs="Arial"/>
          <w:b/>
          <w:sz w:val="18"/>
          <w:szCs w:val="18"/>
        </w:rPr>
        <w:t>Para más información:</w:t>
      </w:r>
    </w:p>
    <w:p w14:paraId="7C7E2AFD" w14:textId="77777777" w:rsidR="00E5395E" w:rsidRPr="006F04EF" w:rsidRDefault="006A6A18">
      <w:pPr>
        <w:jc w:val="both"/>
        <w:rPr>
          <w:rFonts w:ascii="Arial" w:eastAsia="Arial" w:hAnsi="Arial" w:cs="Arial"/>
          <w:sz w:val="18"/>
          <w:szCs w:val="18"/>
        </w:rPr>
      </w:pPr>
      <w:r w:rsidRPr="006F04EF">
        <w:rPr>
          <w:noProof/>
          <w:sz w:val="18"/>
          <w:szCs w:val="18"/>
        </w:rPr>
        <w:drawing>
          <wp:anchor distT="0" distB="0" distL="114300" distR="114300" simplePos="0" relativeHeight="251658240" behindDoc="0" locked="0" layoutInCell="1" hidden="0" allowOverlap="1" wp14:anchorId="7C7E2B02" wp14:editId="7C7E2B03">
            <wp:simplePos x="0" y="0"/>
            <wp:positionH relativeFrom="column">
              <wp:posOffset>28579</wp:posOffset>
            </wp:positionH>
            <wp:positionV relativeFrom="paragraph">
              <wp:posOffset>5080</wp:posOffset>
            </wp:positionV>
            <wp:extent cx="717550" cy="370166"/>
            <wp:effectExtent l="0" t="0" r="0" b="0"/>
            <wp:wrapSquare wrapText="bothSides" distT="0" distB="0" distL="114300" distR="114300"/>
            <wp:docPr id="1852297528" name="image3.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Logotipo&#10;&#10;Descripción generada automáticamente"/>
                    <pic:cNvPicPr preferRelativeResize="0"/>
                  </pic:nvPicPr>
                  <pic:blipFill>
                    <a:blip r:embed="rId13"/>
                    <a:srcRect/>
                    <a:stretch>
                      <a:fillRect/>
                    </a:stretch>
                  </pic:blipFill>
                  <pic:spPr>
                    <a:xfrm>
                      <a:off x="0" y="0"/>
                      <a:ext cx="717550" cy="370166"/>
                    </a:xfrm>
                    <a:prstGeom prst="rect">
                      <a:avLst/>
                    </a:prstGeom>
                    <a:ln/>
                  </pic:spPr>
                </pic:pic>
              </a:graphicData>
            </a:graphic>
          </wp:anchor>
        </w:drawing>
      </w:r>
    </w:p>
    <w:p w14:paraId="7C7E2AFE" w14:textId="77777777" w:rsidR="00E5395E" w:rsidRPr="006F04EF" w:rsidRDefault="00E5395E">
      <w:pPr>
        <w:jc w:val="both"/>
        <w:rPr>
          <w:rFonts w:ascii="Arial" w:eastAsia="Arial" w:hAnsi="Arial" w:cs="Arial"/>
          <w:sz w:val="18"/>
          <w:szCs w:val="18"/>
        </w:rPr>
      </w:pPr>
    </w:p>
    <w:p w14:paraId="7C7E2AFF" w14:textId="77777777" w:rsidR="00E5395E" w:rsidRPr="006F04EF" w:rsidRDefault="006A6A18">
      <w:pPr>
        <w:jc w:val="both"/>
        <w:rPr>
          <w:rFonts w:ascii="Arial" w:eastAsia="Arial" w:hAnsi="Arial" w:cs="Arial"/>
          <w:sz w:val="18"/>
          <w:szCs w:val="18"/>
        </w:rPr>
      </w:pPr>
      <w:r w:rsidRPr="006F04EF">
        <w:rPr>
          <w:rFonts w:ascii="Arial" w:eastAsia="Arial" w:hAnsi="Arial" w:cs="Arial"/>
          <w:sz w:val="18"/>
          <w:szCs w:val="18"/>
        </w:rPr>
        <w:t>Mónica Pastor / Ana Cabirta</w:t>
      </w:r>
    </w:p>
    <w:p w14:paraId="7C7E2B00" w14:textId="77777777" w:rsidR="00E5395E" w:rsidRPr="006F04EF" w:rsidRDefault="00E5395E">
      <w:pPr>
        <w:jc w:val="both"/>
        <w:rPr>
          <w:rFonts w:ascii="Arial" w:eastAsia="Arial" w:hAnsi="Arial" w:cs="Arial"/>
          <w:sz w:val="18"/>
          <w:szCs w:val="18"/>
        </w:rPr>
      </w:pPr>
      <w:hyperlink r:id="rId14">
        <w:r w:rsidRPr="006F04EF">
          <w:rPr>
            <w:rFonts w:ascii="Arial" w:eastAsia="Arial" w:hAnsi="Arial" w:cs="Arial"/>
            <w:color w:val="0563C1"/>
            <w:sz w:val="18"/>
            <w:szCs w:val="18"/>
            <w:u w:val="single"/>
          </w:rPr>
          <w:t>mpastor@kreab.com</w:t>
        </w:r>
      </w:hyperlink>
      <w:r w:rsidR="006A6A18" w:rsidRPr="006F04EF">
        <w:rPr>
          <w:rFonts w:ascii="Arial" w:eastAsia="Arial" w:hAnsi="Arial" w:cs="Arial"/>
          <w:sz w:val="18"/>
          <w:szCs w:val="18"/>
        </w:rPr>
        <w:t xml:space="preserve"> / </w:t>
      </w:r>
      <w:hyperlink r:id="rId15">
        <w:r w:rsidRPr="006F04EF">
          <w:rPr>
            <w:rFonts w:ascii="Arial" w:eastAsia="Arial" w:hAnsi="Arial" w:cs="Arial"/>
            <w:color w:val="0563C1"/>
            <w:sz w:val="18"/>
            <w:szCs w:val="18"/>
            <w:u w:val="single"/>
          </w:rPr>
          <w:t>acabirta@kreab.com</w:t>
        </w:r>
      </w:hyperlink>
      <w:r w:rsidR="006A6A18" w:rsidRPr="006F04EF">
        <w:rPr>
          <w:rFonts w:ascii="Arial" w:eastAsia="Arial" w:hAnsi="Arial" w:cs="Arial"/>
          <w:sz w:val="18"/>
          <w:szCs w:val="18"/>
        </w:rPr>
        <w:t xml:space="preserve"> </w:t>
      </w:r>
    </w:p>
    <w:p w14:paraId="7C7E2B01" w14:textId="77777777" w:rsidR="00E5395E" w:rsidRDefault="00E5395E">
      <w:pPr>
        <w:jc w:val="both"/>
        <w:rPr>
          <w:rFonts w:ascii="Arial" w:eastAsia="Arial" w:hAnsi="Arial" w:cs="Arial"/>
          <w:sz w:val="18"/>
          <w:szCs w:val="18"/>
        </w:rPr>
      </w:pPr>
    </w:p>
    <w:sectPr w:rsidR="00E5395E">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C5A26" w14:textId="77777777" w:rsidR="00EB2D52" w:rsidRDefault="00EB2D52">
      <w:pPr>
        <w:spacing w:after="0" w:line="240" w:lineRule="auto"/>
      </w:pPr>
      <w:r>
        <w:separator/>
      </w:r>
    </w:p>
  </w:endnote>
  <w:endnote w:type="continuationSeparator" w:id="0">
    <w:p w14:paraId="19C4B07A" w14:textId="77777777" w:rsidR="00EB2D52" w:rsidRDefault="00EB2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95AFCD7-AF78-465C-AEDA-73B224138E1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6355D0EA-CC3A-4BDB-AB46-2EE5DAA71CD7}"/>
    <w:embedBold r:id="rId3" w:fontKey="{6E011150-10FF-4ABA-8FC0-BE6703D4A720}"/>
  </w:font>
  <w:font w:name="Book Antiqua">
    <w:panose1 w:val="02040602050305030304"/>
    <w:charset w:val="00"/>
    <w:family w:val="roman"/>
    <w:pitch w:val="variable"/>
    <w:sig w:usb0="00000287" w:usb1="00000000" w:usb2="00000000" w:usb3="00000000" w:csb0="0000009F" w:csb1="00000000"/>
    <w:embedRegular r:id="rId4" w:fontKey="{73C12E85-CA7A-408E-B7E4-0EC482C57F6E}"/>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5" w:fontKey="{762A2DD8-92B1-4DA5-BB16-EB5FBE27B464}"/>
  </w:font>
  <w:font w:name="Segoe UI">
    <w:panose1 w:val="020B0502040204020203"/>
    <w:charset w:val="00"/>
    <w:family w:val="swiss"/>
    <w:pitch w:val="variable"/>
    <w:sig w:usb0="E4002EFF" w:usb1="C000E47F" w:usb2="00000009" w:usb3="00000000" w:csb0="000001FF" w:csb1="00000000"/>
    <w:embedRegular r:id="rId6" w:fontKey="{68AB4594-4712-40CF-941B-BCDCFE44C648}"/>
  </w:font>
  <w:font w:name="Verdana">
    <w:panose1 w:val="020B0604030504040204"/>
    <w:charset w:val="00"/>
    <w:family w:val="swiss"/>
    <w:pitch w:val="variable"/>
    <w:sig w:usb0="A00006FF" w:usb1="4000205B" w:usb2="00000010" w:usb3="00000000" w:csb0="0000019F" w:csb1="00000000"/>
    <w:embedRegular r:id="rId7" w:fontKey="{87A7976F-6721-45C8-B4CD-3A2CEA5BE2AC}"/>
  </w:font>
  <w:font w:name="Georgia">
    <w:panose1 w:val="02040502050405020303"/>
    <w:charset w:val="00"/>
    <w:family w:val="roman"/>
    <w:pitch w:val="variable"/>
    <w:sig w:usb0="00000287" w:usb1="00000000" w:usb2="00000000" w:usb3="00000000" w:csb0="0000009F" w:csb1="00000000"/>
    <w:embedRegular r:id="rId8" w:fontKey="{094A3D43-FA87-4104-9FDD-6A78128983D0}"/>
    <w:embedItalic r:id="rId9" w:fontKey="{0CE50A3D-54F0-46C8-A993-AEF52C06B23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1D3AA" w14:textId="59FE4C2E" w:rsidR="0084333C" w:rsidRDefault="0084333C">
    <w:pPr>
      <w:pStyle w:val="Piedepgina"/>
    </w:pPr>
    <w:r>
      <w:rPr>
        <w:noProof/>
      </w:rPr>
      <mc:AlternateContent>
        <mc:Choice Requires="wps">
          <w:drawing>
            <wp:anchor distT="0" distB="0" distL="0" distR="0" simplePos="0" relativeHeight="251662336" behindDoc="0" locked="0" layoutInCell="1" allowOverlap="1" wp14:anchorId="0BBD542F" wp14:editId="6970E665">
              <wp:simplePos x="635" y="635"/>
              <wp:positionH relativeFrom="page">
                <wp:align>center</wp:align>
              </wp:positionH>
              <wp:positionV relativeFrom="page">
                <wp:align>bottom</wp:align>
              </wp:positionV>
              <wp:extent cx="4168140" cy="316865"/>
              <wp:effectExtent l="0" t="0" r="3810" b="0"/>
              <wp:wrapNone/>
              <wp:docPr id="1761573641" name="Cuadro de texto 2" descr="Uso Interno. Prohibida su difusión sin consentimiento por escrito de Banco de Sabadell, S.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68140" cy="316865"/>
                      </a:xfrm>
                      <a:prstGeom prst="rect">
                        <a:avLst/>
                      </a:prstGeom>
                      <a:noFill/>
                      <a:ln>
                        <a:noFill/>
                      </a:ln>
                    </wps:spPr>
                    <wps:txbx>
                      <w:txbxContent>
                        <w:p w14:paraId="257E871F" w14:textId="02127473" w:rsidR="0084333C" w:rsidRPr="0084333C" w:rsidRDefault="0084333C" w:rsidP="0084333C">
                          <w:pPr>
                            <w:spacing w:after="0"/>
                            <w:rPr>
                              <w:rFonts w:ascii="Arial" w:eastAsia="Arial" w:hAnsi="Arial" w:cs="Arial"/>
                              <w:noProof/>
                              <w:color w:val="000000"/>
                              <w:sz w:val="16"/>
                              <w:szCs w:val="16"/>
                            </w:rPr>
                          </w:pPr>
                          <w:r w:rsidRPr="0084333C">
                            <w:rPr>
                              <w:rFonts w:ascii="Arial" w:eastAsia="Arial" w:hAnsi="Arial" w:cs="Arial"/>
                              <w:noProof/>
                              <w:color w:val="000000"/>
                              <w:sz w:val="16"/>
                              <w:szCs w:val="16"/>
                            </w:rPr>
                            <w:t>Uso Interno. Prohibida su difusión sin consentimiento por escrito de Banco de Sabadell, S.A.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BD542F" id="_x0000_t202" coordsize="21600,21600" o:spt="202" path="m,l,21600r21600,l21600,xe">
              <v:stroke joinstyle="miter"/>
              <v:path gradientshapeok="t" o:connecttype="rect"/>
            </v:shapetype>
            <v:shape id="Cuadro de texto 2" o:spid="_x0000_s1028" type="#_x0000_t202" alt="Uso Interno. Prohibida su difusión sin consentimiento por escrito de Banco de Sabadell, S.A." style="position:absolute;margin-left:0;margin-top:0;width:328.2pt;height:2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" filled="f" stroked="f">
              <v:textbox style="mso-fit-shape-to-text:t" inset="0,0,0,15pt">
                <w:txbxContent>
                  <w:p w14:paraId="257E871F" w14:textId="02127473" w:rsidR="0084333C" w:rsidRPr="0084333C" w:rsidRDefault="0084333C" w:rsidP="0084333C">
                    <w:pPr>
                      <w:spacing w:after="0"/>
                      <w:rPr>
                        <w:rFonts w:ascii="Arial" w:eastAsia="Arial" w:hAnsi="Arial" w:cs="Arial"/>
                        <w:noProof/>
                        <w:color w:val="000000"/>
                        <w:sz w:val="16"/>
                        <w:szCs w:val="16"/>
                      </w:rPr>
                    </w:pPr>
                    <w:r w:rsidRPr="0084333C">
                      <w:rPr>
                        <w:rFonts w:ascii="Arial" w:eastAsia="Arial" w:hAnsi="Arial" w:cs="Arial"/>
                        <w:noProof/>
                        <w:color w:val="000000"/>
                        <w:sz w:val="16"/>
                        <w:szCs w:val="16"/>
                      </w:rPr>
                      <w:t>Uso Interno. Prohibida su difusión sin consentimiento por escrito de Banco de Sabadell, S.A.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7F2AC" w14:textId="5B065F7B" w:rsidR="0084333C" w:rsidRDefault="0084333C">
    <w:pPr>
      <w:pStyle w:val="Piedepgina"/>
    </w:pPr>
    <w:r>
      <w:rPr>
        <w:noProof/>
      </w:rPr>
      <mc:AlternateContent>
        <mc:Choice Requires="wps">
          <w:drawing>
            <wp:anchor distT="0" distB="0" distL="0" distR="0" simplePos="0" relativeHeight="251663360" behindDoc="0" locked="0" layoutInCell="1" allowOverlap="1" wp14:anchorId="1E89CD66" wp14:editId="24EBA7F4">
              <wp:simplePos x="1079500" y="10071100"/>
              <wp:positionH relativeFrom="page">
                <wp:align>center</wp:align>
              </wp:positionH>
              <wp:positionV relativeFrom="page">
                <wp:align>bottom</wp:align>
              </wp:positionV>
              <wp:extent cx="4168140" cy="316865"/>
              <wp:effectExtent l="0" t="0" r="3810" b="0"/>
              <wp:wrapNone/>
              <wp:docPr id="57868368" name="Cuadro de texto 3" descr="Uso Interno. Prohibida su difusión sin consentimiento por escrito de Banco de Sabadell, S.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68140" cy="316865"/>
                      </a:xfrm>
                      <a:prstGeom prst="rect">
                        <a:avLst/>
                      </a:prstGeom>
                      <a:noFill/>
                      <a:ln>
                        <a:noFill/>
                      </a:ln>
                    </wps:spPr>
                    <wps:txbx>
                      <w:txbxContent>
                        <w:p w14:paraId="6FC4BA49" w14:textId="692B6952" w:rsidR="0084333C" w:rsidRPr="0084333C" w:rsidRDefault="0084333C" w:rsidP="0084333C">
                          <w:pPr>
                            <w:spacing w:after="0"/>
                            <w:rPr>
                              <w:rFonts w:ascii="Arial" w:eastAsia="Arial" w:hAnsi="Arial" w:cs="Arial"/>
                              <w:noProof/>
                              <w:color w:val="000000"/>
                              <w:sz w:val="16"/>
                              <w:szCs w:val="16"/>
                            </w:rPr>
                          </w:pPr>
                          <w:r w:rsidRPr="0084333C">
                            <w:rPr>
                              <w:rFonts w:ascii="Arial" w:eastAsia="Arial" w:hAnsi="Arial" w:cs="Arial"/>
                              <w:noProof/>
                              <w:color w:val="000000"/>
                              <w:sz w:val="16"/>
                              <w:szCs w:val="16"/>
                            </w:rPr>
                            <w:t>Uso Interno. Prohibida su difusión sin consentimiento por escrito de Banco de Sabadell, S.A.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89CD66" id="_x0000_t202" coordsize="21600,21600" o:spt="202" path="m,l,21600r21600,l21600,xe">
              <v:stroke joinstyle="miter"/>
              <v:path gradientshapeok="t" o:connecttype="rect"/>
            </v:shapetype>
            <v:shape id="Cuadro de texto 3" o:spid="_x0000_s1029" type="#_x0000_t202" alt="Uso Interno. Prohibida su difusión sin consentimiento por escrito de Banco de Sabadell, S.A." style="position:absolute;margin-left:0;margin-top:0;width:328.2pt;height:2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1DQIAAB0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" filled="f" stroked="f">
              <v:textbox style="mso-fit-shape-to-text:t" inset="0,0,0,15pt">
                <w:txbxContent>
                  <w:p w14:paraId="6FC4BA49" w14:textId="692B6952" w:rsidR="0084333C" w:rsidRPr="0084333C" w:rsidRDefault="0084333C" w:rsidP="0084333C">
                    <w:pPr>
                      <w:spacing w:after="0"/>
                      <w:rPr>
                        <w:rFonts w:ascii="Arial" w:eastAsia="Arial" w:hAnsi="Arial" w:cs="Arial"/>
                        <w:noProof/>
                        <w:color w:val="000000"/>
                        <w:sz w:val="16"/>
                        <w:szCs w:val="16"/>
                      </w:rPr>
                    </w:pPr>
                    <w:r w:rsidRPr="0084333C">
                      <w:rPr>
                        <w:rFonts w:ascii="Arial" w:eastAsia="Arial" w:hAnsi="Arial" w:cs="Arial"/>
                        <w:noProof/>
                        <w:color w:val="000000"/>
                        <w:sz w:val="16"/>
                        <w:szCs w:val="16"/>
                      </w:rPr>
                      <w:t>Uso Interno. Prohibida su difusión sin consentimiento por escrito de Banco de Sabadell, S.A.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C3FFC" w14:textId="0B123683" w:rsidR="0084333C" w:rsidRDefault="0084333C">
    <w:pPr>
      <w:pStyle w:val="Piedepgina"/>
    </w:pPr>
    <w:r>
      <w:rPr>
        <w:noProof/>
      </w:rPr>
      <mc:AlternateContent>
        <mc:Choice Requires="wps">
          <w:drawing>
            <wp:anchor distT="0" distB="0" distL="0" distR="0" simplePos="0" relativeHeight="251661312" behindDoc="0" locked="0" layoutInCell="1" allowOverlap="1" wp14:anchorId="54C1F34A" wp14:editId="2F3C0233">
              <wp:simplePos x="635" y="635"/>
              <wp:positionH relativeFrom="page">
                <wp:align>center</wp:align>
              </wp:positionH>
              <wp:positionV relativeFrom="page">
                <wp:align>bottom</wp:align>
              </wp:positionV>
              <wp:extent cx="4168140" cy="316865"/>
              <wp:effectExtent l="0" t="0" r="3810" b="0"/>
              <wp:wrapNone/>
              <wp:docPr id="174595609" name="Cuadro de texto 1" descr="Uso Interno. Prohibida su difusión sin consentimiento por escrito de Banco de Sabadell, S.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68140" cy="316865"/>
                      </a:xfrm>
                      <a:prstGeom prst="rect">
                        <a:avLst/>
                      </a:prstGeom>
                      <a:noFill/>
                      <a:ln>
                        <a:noFill/>
                      </a:ln>
                    </wps:spPr>
                    <wps:txbx>
                      <w:txbxContent>
                        <w:p w14:paraId="30C4338B" w14:textId="71FA1CAE" w:rsidR="0084333C" w:rsidRPr="0084333C" w:rsidRDefault="0084333C" w:rsidP="0084333C">
                          <w:pPr>
                            <w:spacing w:after="0"/>
                            <w:rPr>
                              <w:rFonts w:ascii="Arial" w:eastAsia="Arial" w:hAnsi="Arial" w:cs="Arial"/>
                              <w:noProof/>
                              <w:color w:val="000000"/>
                              <w:sz w:val="16"/>
                              <w:szCs w:val="16"/>
                            </w:rPr>
                          </w:pPr>
                          <w:r w:rsidRPr="0084333C">
                            <w:rPr>
                              <w:rFonts w:ascii="Arial" w:eastAsia="Arial" w:hAnsi="Arial" w:cs="Arial"/>
                              <w:noProof/>
                              <w:color w:val="000000"/>
                              <w:sz w:val="16"/>
                              <w:szCs w:val="16"/>
                            </w:rPr>
                            <w:t>Uso Interno. Prohibida su difusión sin consentimiento por escrito de Banco de Sabadell, S.A.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C1F34A" id="_x0000_t202" coordsize="21600,21600" o:spt="202" path="m,l,21600r21600,l21600,xe">
              <v:stroke joinstyle="miter"/>
              <v:path gradientshapeok="t" o:connecttype="rect"/>
            </v:shapetype>
            <v:shape id="Cuadro de texto 1" o:spid="_x0000_s1031" type="#_x0000_t202" alt="Uso Interno. Prohibida su difusión sin consentimiento por escrito de Banco de Sabadell, S.A." style="position:absolute;margin-left:0;margin-top:0;width:328.2pt;height:2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" filled="f" stroked="f">
              <v:textbox style="mso-fit-shape-to-text:t" inset="0,0,0,15pt">
                <w:txbxContent>
                  <w:p w14:paraId="30C4338B" w14:textId="71FA1CAE" w:rsidR="0084333C" w:rsidRPr="0084333C" w:rsidRDefault="0084333C" w:rsidP="0084333C">
                    <w:pPr>
                      <w:spacing w:after="0"/>
                      <w:rPr>
                        <w:rFonts w:ascii="Arial" w:eastAsia="Arial" w:hAnsi="Arial" w:cs="Arial"/>
                        <w:noProof/>
                        <w:color w:val="000000"/>
                        <w:sz w:val="16"/>
                        <w:szCs w:val="16"/>
                      </w:rPr>
                    </w:pPr>
                    <w:r w:rsidRPr="0084333C">
                      <w:rPr>
                        <w:rFonts w:ascii="Arial" w:eastAsia="Arial" w:hAnsi="Arial" w:cs="Arial"/>
                        <w:noProof/>
                        <w:color w:val="000000"/>
                        <w:sz w:val="16"/>
                        <w:szCs w:val="16"/>
                      </w:rPr>
                      <w:t>Uso Interno. Prohibida su difusión sin consentimiento por escrito de Banco de Sabadell, S.A.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1D961" w14:textId="77777777" w:rsidR="00EB2D52" w:rsidRDefault="00EB2D52">
      <w:pPr>
        <w:spacing w:after="0" w:line="240" w:lineRule="auto"/>
      </w:pPr>
      <w:r>
        <w:separator/>
      </w:r>
    </w:p>
  </w:footnote>
  <w:footnote w:type="continuationSeparator" w:id="0">
    <w:p w14:paraId="6BA3650E" w14:textId="77777777" w:rsidR="00EB2D52" w:rsidRDefault="00EB2D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E2B04" w14:textId="77777777" w:rsidR="00E5395E" w:rsidRDefault="006A6A18">
    <w:pPr>
      <w:pBdr>
        <w:top w:val="nil"/>
        <w:left w:val="nil"/>
        <w:bottom w:val="nil"/>
        <w:right w:val="nil"/>
        <w:between w:val="nil"/>
      </w:pBdr>
      <w:tabs>
        <w:tab w:val="center" w:pos="4252"/>
        <w:tab w:val="right" w:pos="8504"/>
      </w:tabs>
      <w:spacing w:after="0" w:line="240" w:lineRule="auto"/>
      <w:rPr>
        <w:color w:val="000000"/>
      </w:rPr>
    </w:pPr>
    <w:r>
      <w:rPr>
        <w:noProof/>
        <w:color w:val="000000"/>
      </w:rPr>
      <mc:AlternateContent>
        <mc:Choice Requires="wps">
          <w:drawing>
            <wp:anchor distT="0" distB="0" distL="0" distR="0" simplePos="0" relativeHeight="251660288" behindDoc="0" locked="0" layoutInCell="1" hidden="0" allowOverlap="1" wp14:anchorId="7C7E2B08" wp14:editId="7C7E2B09">
              <wp:simplePos x="0" y="0"/>
              <wp:positionH relativeFrom="page">
                <wp:align>center</wp:align>
              </wp:positionH>
              <wp:positionV relativeFrom="page">
                <wp:align>top</wp:align>
              </wp:positionV>
              <wp:extent cx="756285" cy="367030"/>
              <wp:effectExtent l="0" t="0" r="0" b="0"/>
              <wp:wrapNone/>
              <wp:docPr id="1852297525" name="Rectángulo 1852297525" descr="Corporate Use"/>
              <wp:cNvGraphicFramePr/>
              <a:graphic xmlns:a="http://schemas.openxmlformats.org/drawingml/2006/main">
                <a:graphicData uri="http://schemas.microsoft.com/office/word/2010/wordprocessingShape">
                  <wps:wsp>
                    <wps:cNvSpPr/>
                    <wps:spPr>
                      <a:xfrm>
                        <a:off x="4972620" y="3601248"/>
                        <a:ext cx="746760" cy="357505"/>
                      </a:xfrm>
                      <a:prstGeom prst="rect">
                        <a:avLst/>
                      </a:prstGeom>
                      <a:noFill/>
                      <a:ln>
                        <a:noFill/>
                      </a:ln>
                    </wps:spPr>
                    <wps:txbx>
                      <w:txbxContent>
                        <w:p w14:paraId="7C7E2B12" w14:textId="77777777" w:rsidR="00E5395E" w:rsidRDefault="006A6A18">
                          <w:pPr>
                            <w:spacing w:after="0" w:line="258" w:lineRule="auto"/>
                            <w:textDirection w:val="btLr"/>
                          </w:pPr>
                          <w:proofErr w:type="spellStart"/>
                          <w:r>
                            <w:rPr>
                              <w:color w:val="808080"/>
                              <w:sz w:val="20"/>
                            </w:rPr>
                            <w:t>Corporate</w:t>
                          </w:r>
                          <w:proofErr w:type="spellEnd"/>
                          <w:r>
                            <w:rPr>
                              <w:color w:val="808080"/>
                              <w:sz w:val="20"/>
                            </w:rPr>
                            <w:t xml:space="preserve"> Use</w:t>
                          </w:r>
                        </w:p>
                      </w:txbxContent>
                    </wps:txbx>
                    <wps:bodyPr spcFirstLastPara="1" wrap="square" lIns="0" tIns="190500" rIns="0" bIns="0" anchor="t" anchorCtr="0">
                      <a:noAutofit/>
                    </wps:bodyPr>
                  </wps:wsp>
                </a:graphicData>
              </a:graphic>
            </wp:anchor>
          </w:drawing>
        </mc:Choice>
        <mc:Fallback>
          <w:pict>
            <v:rect w14:anchorId="7C7E2B08" id="Rectángulo 1852297525" o:spid="_x0000_s1026" alt="Corporate Use" style="position:absolute;margin-left:0;margin-top:0;width:59.55pt;height:28.9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" filled="f" stroked="f">
              <v:textbox inset="0,15pt,0,0">
                <w:txbxContent>
                  <w:p w14:paraId="7C7E2B12" w14:textId="77777777" w:rsidR="00E5395E" w:rsidRDefault="006A6A18">
                    <w:pPr>
                      <w:spacing w:after="0" w:line="258" w:lineRule="auto"/>
                      <w:textDirection w:val="btLr"/>
                    </w:pPr>
                    <w:proofErr w:type="spellStart"/>
                    <w:r>
                      <w:rPr>
                        <w:color w:val="808080"/>
                        <w:sz w:val="20"/>
                      </w:rPr>
                      <w:t>Corporate</w:t>
                    </w:r>
                    <w:proofErr w:type="spellEnd"/>
                    <w:r>
                      <w:rPr>
                        <w:color w:val="808080"/>
                        <w:sz w:val="20"/>
                      </w:rPr>
                      <w:t xml:space="preserve"> Use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E2B05" w14:textId="77777777" w:rsidR="00E5395E" w:rsidRDefault="006A6A18">
    <w:pPr>
      <w:pBdr>
        <w:top w:val="nil"/>
        <w:left w:val="nil"/>
        <w:bottom w:val="nil"/>
        <w:right w:val="nil"/>
        <w:between w:val="nil"/>
      </w:pBdr>
      <w:tabs>
        <w:tab w:val="center" w:pos="4252"/>
        <w:tab w:val="right" w:pos="8504"/>
      </w:tabs>
      <w:spacing w:after="0" w:line="240" w:lineRule="auto"/>
      <w:rPr>
        <w:color w:val="000000"/>
      </w:rPr>
    </w:pPr>
    <w:r>
      <w:rPr>
        <w:b/>
        <w:noProof/>
        <w:color w:val="000000"/>
      </w:rPr>
      <mc:AlternateContent>
        <mc:Choice Requires="wps">
          <w:drawing>
            <wp:anchor distT="0" distB="0" distL="0" distR="0" simplePos="0" relativeHeight="251658240" behindDoc="0" locked="0" layoutInCell="1" hidden="0" allowOverlap="1" wp14:anchorId="7C7E2B0A" wp14:editId="7C7E2B0B">
              <wp:simplePos x="0" y="0"/>
              <wp:positionH relativeFrom="page">
                <wp:align>center</wp:align>
              </wp:positionH>
              <wp:positionV relativeFrom="page">
                <wp:align>top</wp:align>
              </wp:positionV>
              <wp:extent cx="756285" cy="367030"/>
              <wp:effectExtent l="0" t="0" r="0" b="0"/>
              <wp:wrapNone/>
              <wp:docPr id="1852297527" name="Rectángulo 1852297527" descr="Corporate Use"/>
              <wp:cNvGraphicFramePr/>
              <a:graphic xmlns:a="http://schemas.openxmlformats.org/drawingml/2006/main">
                <a:graphicData uri="http://schemas.microsoft.com/office/word/2010/wordprocessingShape">
                  <wps:wsp>
                    <wps:cNvSpPr/>
                    <wps:spPr>
                      <a:xfrm>
                        <a:off x="4972620" y="3601248"/>
                        <a:ext cx="746760" cy="357505"/>
                      </a:xfrm>
                      <a:prstGeom prst="rect">
                        <a:avLst/>
                      </a:prstGeom>
                      <a:noFill/>
                      <a:ln>
                        <a:noFill/>
                      </a:ln>
                    </wps:spPr>
                    <wps:txbx>
                      <w:txbxContent>
                        <w:p w14:paraId="7C7E2B10" w14:textId="112390FA" w:rsidR="00E5395E" w:rsidRDefault="00E5395E">
                          <w:pPr>
                            <w:spacing w:after="0" w:line="258" w:lineRule="auto"/>
                            <w:textDirection w:val="btLr"/>
                          </w:pPr>
                        </w:p>
                      </w:txbxContent>
                    </wps:txbx>
                    <wps:bodyPr spcFirstLastPara="1" wrap="square" lIns="0" tIns="190500" rIns="0" bIns="0" anchor="t" anchorCtr="0">
                      <a:noAutofit/>
                    </wps:bodyPr>
                  </wps:wsp>
                </a:graphicData>
              </a:graphic>
            </wp:anchor>
          </w:drawing>
        </mc:Choice>
        <mc:Fallback>
          <w:pict>
            <v:rect w14:anchorId="7C7E2B0A" id="Rectángulo 1852297527" o:spid="_x0000_s1027" alt="Corporate Use" style="position:absolute;margin-left:0;margin-top:0;width:59.55pt;height:28.9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" filled="f" stroked="f">
              <v:textbox inset="0,15pt,0,0">
                <w:txbxContent>
                  <w:p w14:paraId="7C7E2B10" w14:textId="112390FA" w:rsidR="00E5395E" w:rsidRDefault="00E5395E">
                    <w:pPr>
                      <w:spacing w:after="0" w:line="258" w:lineRule="auto"/>
                      <w:textDirection w:val="btLr"/>
                    </w:pPr>
                  </w:p>
                </w:txbxContent>
              </v:textbox>
              <w10:wrap anchorx="page" anchory="page"/>
            </v:rect>
          </w:pict>
        </mc:Fallback>
      </mc:AlternateContent>
    </w:r>
    <w:r>
      <w:rPr>
        <w:b/>
        <w:noProof/>
        <w:color w:val="000000"/>
      </w:rPr>
      <w:drawing>
        <wp:inline distT="0" distB="0" distL="0" distR="0" wp14:anchorId="7C7E2B0C" wp14:editId="7C7E2B0D">
          <wp:extent cx="862317" cy="788535"/>
          <wp:effectExtent l="0" t="0" r="0" b="0"/>
          <wp:docPr id="1852297529" name="image5.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Logotipo, nombre de la empresa&#10;&#10;Descripción generada automáticamente"/>
                  <pic:cNvPicPr preferRelativeResize="0"/>
                </pic:nvPicPr>
                <pic:blipFill>
                  <a:blip r:embed="rId1"/>
                  <a:srcRect/>
                  <a:stretch>
                    <a:fillRect/>
                  </a:stretch>
                </pic:blipFill>
                <pic:spPr>
                  <a:xfrm>
                    <a:off x="0" y="0"/>
                    <a:ext cx="862317" cy="788535"/>
                  </a:xfrm>
                  <a:prstGeom prst="rect">
                    <a:avLst/>
                  </a:prstGeom>
                  <a:ln/>
                </pic:spPr>
              </pic:pic>
            </a:graphicData>
          </a:graphic>
        </wp:inline>
      </w:drawing>
    </w:r>
  </w:p>
  <w:p w14:paraId="7C7E2B06" w14:textId="77777777" w:rsidR="00E5395E" w:rsidRDefault="00E5395E">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E2B07" w14:textId="77777777" w:rsidR="00E5395E" w:rsidRDefault="006A6A18">
    <w:pPr>
      <w:pBdr>
        <w:top w:val="nil"/>
        <w:left w:val="nil"/>
        <w:bottom w:val="nil"/>
        <w:right w:val="nil"/>
        <w:between w:val="nil"/>
      </w:pBdr>
      <w:tabs>
        <w:tab w:val="center" w:pos="4252"/>
        <w:tab w:val="right" w:pos="8504"/>
      </w:tabs>
      <w:spacing w:after="0"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7C7E2B0E" wp14:editId="7C7E2B0F">
              <wp:simplePos x="0" y="0"/>
              <wp:positionH relativeFrom="page">
                <wp:align>center</wp:align>
              </wp:positionH>
              <wp:positionV relativeFrom="page">
                <wp:align>top</wp:align>
              </wp:positionV>
              <wp:extent cx="756285" cy="367030"/>
              <wp:effectExtent l="0" t="0" r="0" b="0"/>
              <wp:wrapNone/>
              <wp:docPr id="1852297526" name="Rectángulo 1852297526" descr="Corporate Use"/>
              <wp:cNvGraphicFramePr/>
              <a:graphic xmlns:a="http://schemas.openxmlformats.org/drawingml/2006/main">
                <a:graphicData uri="http://schemas.microsoft.com/office/word/2010/wordprocessingShape">
                  <wps:wsp>
                    <wps:cNvSpPr/>
                    <wps:spPr>
                      <a:xfrm>
                        <a:off x="4972620" y="3601248"/>
                        <a:ext cx="746760" cy="357505"/>
                      </a:xfrm>
                      <a:prstGeom prst="rect">
                        <a:avLst/>
                      </a:prstGeom>
                      <a:noFill/>
                      <a:ln>
                        <a:noFill/>
                      </a:ln>
                    </wps:spPr>
                    <wps:txbx>
                      <w:txbxContent>
                        <w:p w14:paraId="7C7E2B11" w14:textId="77777777" w:rsidR="00E5395E" w:rsidRDefault="006A6A18">
                          <w:pPr>
                            <w:spacing w:after="0" w:line="258" w:lineRule="auto"/>
                            <w:textDirection w:val="btLr"/>
                          </w:pPr>
                          <w:proofErr w:type="spellStart"/>
                          <w:r>
                            <w:rPr>
                              <w:color w:val="808080"/>
                              <w:sz w:val="20"/>
                            </w:rPr>
                            <w:t>Corporate</w:t>
                          </w:r>
                          <w:proofErr w:type="spellEnd"/>
                          <w:r>
                            <w:rPr>
                              <w:color w:val="808080"/>
                              <w:sz w:val="20"/>
                            </w:rPr>
                            <w:t xml:space="preserve"> Use</w:t>
                          </w:r>
                        </w:p>
                      </w:txbxContent>
                    </wps:txbx>
                    <wps:bodyPr spcFirstLastPara="1" wrap="square" lIns="0" tIns="190500" rIns="0" bIns="0" anchor="t" anchorCtr="0">
                      <a:noAutofit/>
                    </wps:bodyPr>
                  </wps:wsp>
                </a:graphicData>
              </a:graphic>
            </wp:anchor>
          </w:drawing>
        </mc:Choice>
        <mc:Fallback>
          <w:pict>
            <v:rect w14:anchorId="7C7E2B0E" id="Rectángulo 1852297526" o:spid="_x0000_s1030" alt="Corporate Use" style="position:absolute;margin-left:0;margin-top:0;width:59.55pt;height:28.9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" filled="f" stroked="f">
              <v:textbox inset="0,15pt,0,0">
                <w:txbxContent>
                  <w:p w14:paraId="7C7E2B11" w14:textId="77777777" w:rsidR="00E5395E" w:rsidRDefault="006A6A18">
                    <w:pPr>
                      <w:spacing w:after="0" w:line="258" w:lineRule="auto"/>
                      <w:textDirection w:val="btLr"/>
                    </w:pPr>
                    <w:proofErr w:type="spellStart"/>
                    <w:r>
                      <w:rPr>
                        <w:color w:val="808080"/>
                        <w:sz w:val="20"/>
                      </w:rPr>
                      <w:t>Corporate</w:t>
                    </w:r>
                    <w:proofErr w:type="spellEnd"/>
                    <w:r>
                      <w:rPr>
                        <w:color w:val="808080"/>
                        <w:sz w:val="20"/>
                      </w:rPr>
                      <w:t xml:space="preserve"> Use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F1D37"/>
    <w:multiLevelType w:val="multilevel"/>
    <w:tmpl w:val="F1445F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662A1B"/>
    <w:multiLevelType w:val="hybridMultilevel"/>
    <w:tmpl w:val="ED521B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70928124">
    <w:abstractNumId w:val="0"/>
  </w:num>
  <w:num w:numId="2" w16cid:durableId="1305509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95E"/>
    <w:rsid w:val="003150EB"/>
    <w:rsid w:val="00323D97"/>
    <w:rsid w:val="00341D36"/>
    <w:rsid w:val="0040089A"/>
    <w:rsid w:val="004D239C"/>
    <w:rsid w:val="00503D24"/>
    <w:rsid w:val="006A6A18"/>
    <w:rsid w:val="006F04EF"/>
    <w:rsid w:val="007346F8"/>
    <w:rsid w:val="00756FBF"/>
    <w:rsid w:val="007A180D"/>
    <w:rsid w:val="00810E83"/>
    <w:rsid w:val="0084333C"/>
    <w:rsid w:val="00947390"/>
    <w:rsid w:val="00A06622"/>
    <w:rsid w:val="00B97C18"/>
    <w:rsid w:val="00E5395E"/>
    <w:rsid w:val="00EA5CE4"/>
    <w:rsid w:val="00EB2D52"/>
    <w:rsid w:val="00F070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7E2AE0"/>
  <w15:docId w15:val="{0C89CAC2-F05F-4959-B17C-26B19B4B2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0A0428"/>
    <w:pPr>
      <w:keepNext/>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ind w:right="44"/>
      <w:jc w:val="right"/>
      <w:outlineLvl w:val="1"/>
    </w:pPr>
    <w:rPr>
      <w:rFonts w:ascii="Book Antiqua" w:eastAsia="Arial Unicode MS" w:hAnsi="Book Antiqua" w:cs="Arial Unicode MS"/>
      <w:color w:val="FF0000"/>
      <w:sz w:val="32"/>
      <w:szCs w:val="32"/>
      <w:u w:color="FF0000"/>
      <w:lang w:val="es-ES_tradnl"/>
    </w:rPr>
  </w:style>
  <w:style w:type="paragraph" w:styleId="Ttulo3">
    <w:name w:val="heading 3"/>
    <w:basedOn w:val="Normal"/>
    <w:next w:val="Normal"/>
    <w:link w:val="Ttulo3Car"/>
    <w:uiPriority w:val="9"/>
    <w:semiHidden/>
    <w:unhideWhenUsed/>
    <w:qFormat/>
    <w:rsid w:val="007862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A042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0428"/>
  </w:style>
  <w:style w:type="paragraph" w:styleId="Piedepgina">
    <w:name w:val="footer"/>
    <w:basedOn w:val="Normal"/>
    <w:link w:val="PiedepginaCar"/>
    <w:uiPriority w:val="99"/>
    <w:unhideWhenUsed/>
    <w:rsid w:val="000A042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A0428"/>
  </w:style>
  <w:style w:type="character" w:customStyle="1" w:styleId="Ninguno">
    <w:name w:val="Ninguno"/>
    <w:uiPriority w:val="99"/>
    <w:rsid w:val="000A0428"/>
  </w:style>
  <w:style w:type="paragraph" w:styleId="Textodeglobo">
    <w:name w:val="Balloon Text"/>
    <w:basedOn w:val="Normal"/>
    <w:link w:val="TextodegloboCar"/>
    <w:uiPriority w:val="99"/>
    <w:semiHidden/>
    <w:unhideWhenUsed/>
    <w:rsid w:val="000A04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0428"/>
    <w:rPr>
      <w:rFonts w:ascii="Segoe UI" w:hAnsi="Segoe UI" w:cs="Segoe UI"/>
      <w:sz w:val="18"/>
      <w:szCs w:val="18"/>
    </w:rPr>
  </w:style>
  <w:style w:type="character" w:customStyle="1" w:styleId="Ttulo2Car">
    <w:name w:val="Título 2 Car"/>
    <w:basedOn w:val="Fuentedeprrafopredeter"/>
    <w:link w:val="Ttulo2"/>
    <w:uiPriority w:val="99"/>
    <w:rsid w:val="000A0428"/>
    <w:rPr>
      <w:rFonts w:ascii="Book Antiqua" w:eastAsia="Arial Unicode MS" w:hAnsi="Book Antiqua" w:cs="Arial Unicode MS"/>
      <w:color w:val="FF0000"/>
      <w:sz w:val="32"/>
      <w:szCs w:val="32"/>
      <w:u w:color="FF0000"/>
      <w:lang w:val="es-ES_tradnl" w:eastAsia="es-ES"/>
    </w:rPr>
  </w:style>
  <w:style w:type="paragraph" w:styleId="Prrafodelista">
    <w:name w:val="List Paragraph"/>
    <w:basedOn w:val="Normal"/>
    <w:uiPriority w:val="34"/>
    <w:qFormat/>
    <w:rsid w:val="00F456CD"/>
    <w:pPr>
      <w:ind w:left="720"/>
      <w:contextualSpacing/>
    </w:pPr>
  </w:style>
  <w:style w:type="character" w:customStyle="1" w:styleId="Hyperlink0">
    <w:name w:val="Hyperlink.0"/>
    <w:basedOn w:val="Fuentedeprrafopredeter"/>
    <w:uiPriority w:val="99"/>
    <w:rsid w:val="001413ED"/>
    <w:rPr>
      <w:rFonts w:ascii="Verdana" w:hAnsi="Verdana" w:cs="Verdana"/>
      <w:color w:val="0000FF"/>
      <w:sz w:val="20"/>
      <w:szCs w:val="20"/>
      <w:u w:val="single" w:color="0000FF"/>
    </w:rPr>
  </w:style>
  <w:style w:type="character" w:styleId="Refdecomentario">
    <w:name w:val="annotation reference"/>
    <w:basedOn w:val="Fuentedeprrafopredeter"/>
    <w:uiPriority w:val="99"/>
    <w:semiHidden/>
    <w:unhideWhenUsed/>
    <w:rsid w:val="006A0708"/>
    <w:rPr>
      <w:sz w:val="18"/>
      <w:szCs w:val="18"/>
    </w:rPr>
  </w:style>
  <w:style w:type="paragraph" w:styleId="Textocomentario">
    <w:name w:val="annotation text"/>
    <w:basedOn w:val="Normal"/>
    <w:link w:val="TextocomentarioCar"/>
    <w:uiPriority w:val="99"/>
    <w:unhideWhenUsed/>
    <w:rsid w:val="006A0708"/>
    <w:pPr>
      <w:spacing w:line="240" w:lineRule="auto"/>
    </w:pPr>
    <w:rPr>
      <w:sz w:val="24"/>
      <w:szCs w:val="24"/>
    </w:rPr>
  </w:style>
  <w:style w:type="character" w:customStyle="1" w:styleId="TextocomentarioCar">
    <w:name w:val="Texto comentario Car"/>
    <w:basedOn w:val="Fuentedeprrafopredeter"/>
    <w:link w:val="Textocomentario"/>
    <w:uiPriority w:val="99"/>
    <w:rsid w:val="006A0708"/>
    <w:rPr>
      <w:sz w:val="24"/>
      <w:szCs w:val="24"/>
    </w:rPr>
  </w:style>
  <w:style w:type="paragraph" w:styleId="Asuntodelcomentario">
    <w:name w:val="annotation subject"/>
    <w:basedOn w:val="Textocomentario"/>
    <w:next w:val="Textocomentario"/>
    <w:link w:val="AsuntodelcomentarioCar"/>
    <w:uiPriority w:val="99"/>
    <w:semiHidden/>
    <w:unhideWhenUsed/>
    <w:rsid w:val="006A0708"/>
    <w:rPr>
      <w:b/>
      <w:bCs/>
      <w:sz w:val="20"/>
      <w:szCs w:val="20"/>
    </w:rPr>
  </w:style>
  <w:style w:type="character" w:customStyle="1" w:styleId="AsuntodelcomentarioCar">
    <w:name w:val="Asunto del comentario Car"/>
    <w:basedOn w:val="TextocomentarioCar"/>
    <w:link w:val="Asuntodelcomentario"/>
    <w:uiPriority w:val="99"/>
    <w:semiHidden/>
    <w:rsid w:val="006A0708"/>
    <w:rPr>
      <w:b/>
      <w:bCs/>
      <w:sz w:val="20"/>
      <w:szCs w:val="20"/>
    </w:rPr>
  </w:style>
  <w:style w:type="paragraph" w:styleId="Revisin">
    <w:name w:val="Revision"/>
    <w:hidden/>
    <w:uiPriority w:val="99"/>
    <w:semiHidden/>
    <w:rsid w:val="007419DD"/>
    <w:pPr>
      <w:spacing w:after="0" w:line="240" w:lineRule="auto"/>
    </w:pPr>
  </w:style>
  <w:style w:type="paragraph" w:customStyle="1" w:styleId="xmsonormal">
    <w:name w:val="x_msonormal"/>
    <w:basedOn w:val="Normal"/>
    <w:rsid w:val="00AC7727"/>
    <w:pPr>
      <w:spacing w:before="100" w:beforeAutospacing="1" w:after="100" w:afterAutospacing="1" w:line="240" w:lineRule="auto"/>
    </w:pPr>
  </w:style>
  <w:style w:type="paragraph" w:customStyle="1" w:styleId="xmsolistparagraph">
    <w:name w:val="x_msolistparagraph"/>
    <w:basedOn w:val="Normal"/>
    <w:rsid w:val="00AC7727"/>
    <w:pPr>
      <w:spacing w:before="100" w:beforeAutospacing="1" w:after="100" w:afterAutospacing="1" w:line="240" w:lineRule="auto"/>
    </w:pPr>
  </w:style>
  <w:style w:type="character" w:customStyle="1" w:styleId="Ttulo3Car">
    <w:name w:val="Título 3 Car"/>
    <w:basedOn w:val="Fuentedeprrafopredeter"/>
    <w:link w:val="Ttulo3"/>
    <w:uiPriority w:val="9"/>
    <w:semiHidden/>
    <w:rsid w:val="0078629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7026A0"/>
    <w:rPr>
      <w:color w:val="0563C1" w:themeColor="hyperlink"/>
      <w:u w:val="single"/>
    </w:rPr>
  </w:style>
  <w:style w:type="character" w:customStyle="1" w:styleId="Mencinsinresolver1">
    <w:name w:val="Mención sin resolver1"/>
    <w:basedOn w:val="Fuentedeprrafopredeter"/>
    <w:uiPriority w:val="99"/>
    <w:semiHidden/>
    <w:unhideWhenUsed/>
    <w:rsid w:val="007026A0"/>
    <w:rPr>
      <w:color w:val="605E5C"/>
      <w:shd w:val="clear" w:color="auto" w:fill="E1DFDD"/>
    </w:rPr>
  </w:style>
  <w:style w:type="paragraph" w:styleId="NormalWeb">
    <w:name w:val="Normal (Web)"/>
    <w:basedOn w:val="Normal"/>
    <w:uiPriority w:val="99"/>
    <w:semiHidden/>
    <w:unhideWhenUsed/>
    <w:rsid w:val="00D26E95"/>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C4313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omeninbankingspain.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omeninbankingspain.com/" TargetMode="External"/><Relationship Id="rId5" Type="http://schemas.openxmlformats.org/officeDocument/2006/relationships/numbering" Target="numbering.xml"/><Relationship Id="rId15" Type="http://schemas.openxmlformats.org/officeDocument/2006/relationships/hyperlink" Target="mailto:acabirta@kreab.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pastor@kreab.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Om+hRxBa9WqPcRMcpqhupQxfTA==">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</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2217d6-fa2d-4252-bcd9-57041eb1a1c4">
      <Terms xmlns="http://schemas.microsoft.com/office/infopath/2007/PartnerControls"/>
    </lcf76f155ced4ddcb4097134ff3c332f>
    <TaxCatchAll xmlns="2b6cbe70-0c33-48c9-8214-7f84aa4386b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D8E81568CB2A4644A7DEBC09171563E8" ma:contentTypeVersion="19" ma:contentTypeDescription="Crear nuevo documento." ma:contentTypeScope="" ma:versionID="018ea253808d0f1fa0d49571b0236e57">
  <xsd:schema xmlns:xsd="http://www.w3.org/2001/XMLSchema" xmlns:xs="http://www.w3.org/2001/XMLSchema" xmlns:p="http://schemas.microsoft.com/office/2006/metadata/properties" xmlns:ns2="2b6cbe70-0c33-48c9-8214-7f84aa4386b5" xmlns:ns3="012217d6-fa2d-4252-bcd9-57041eb1a1c4" targetNamespace="http://schemas.microsoft.com/office/2006/metadata/properties" ma:root="true" ma:fieldsID="9418c15f70fffd56e1eeaf41a8d0628b" ns2:_="" ns3:_="">
    <xsd:import namespace="2b6cbe70-0c33-48c9-8214-7f84aa4386b5"/>
    <xsd:import namespace="012217d6-fa2d-4252-bcd9-57041eb1a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cbe70-0c33-48c9-8214-7f84aa4386b5"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e406fa19-a254-4636-b82e-e8157df3be69}" ma:internalName="TaxCatchAll" ma:showField="CatchAllData" ma:web="2b6cbe70-0c33-48c9-8214-7f84aa4386b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2217d6-fa2d-4252-bcd9-57041eb1a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3432716f-e644-4490-80ed-d074406250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E2717D-CE0F-42BF-B040-9409E773170C}">
  <ds:schemaRefs>
    <ds:schemaRef ds:uri="http://schemas.microsoft.com/sharepoint/v3/contenttype/forms"/>
  </ds:schemaRefs>
</ds:datastoreItem>
</file>

<file path=customXml/itemProps3.xml><?xml version="1.0" encoding="utf-8"?>
<ds:datastoreItem xmlns:ds="http://schemas.openxmlformats.org/officeDocument/2006/customXml" ds:itemID="{4DB1D380-003A-445B-849A-24DA71595A64}">
  <ds:schemaRefs>
    <ds:schemaRef ds:uri="http://schemas.microsoft.com/office/2006/metadata/properties"/>
    <ds:schemaRef ds:uri="http://schemas.microsoft.com/office/infopath/2007/PartnerControls"/>
    <ds:schemaRef ds:uri="012217d6-fa2d-4252-bcd9-57041eb1a1c4"/>
    <ds:schemaRef ds:uri="2b6cbe70-0c33-48c9-8214-7f84aa4386b5"/>
  </ds:schemaRefs>
</ds:datastoreItem>
</file>

<file path=customXml/itemProps4.xml><?xml version="1.0" encoding="utf-8"?>
<ds:datastoreItem xmlns:ds="http://schemas.openxmlformats.org/officeDocument/2006/customXml" ds:itemID="{15C2F876-66DC-4792-BA1B-117B0D21C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cbe70-0c33-48c9-8214-7f84aa4386b5"/>
    <ds:schemaRef ds:uri="012217d6-fa2d-4252-bcd9-57041eb1a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2f46fc9-b57d-4030-936a-1f3c4e6b7779}" enabled="0" method="" siteId="{72f46fc9-b57d-4030-936a-1f3c4e6b7779}" removed="1"/>
  <clbl:label id="{f7768166-34c8-41c7-970d-92c0ebf90128}" enabled="1" method="Standard" siteId="{8e3011fb-7db0-45b9-82a1-90b9d8a5f4a0}" removed="0"/>
</clbl:labelList>
</file>

<file path=docProps/app.xml><?xml version="1.0" encoding="utf-8"?>
<Properties xmlns="http://schemas.openxmlformats.org/officeDocument/2006/extended-properties" xmlns:vt="http://schemas.openxmlformats.org/officeDocument/2006/docPropsVTypes">
  <Template>Normal</Template>
  <TotalTime>2</TotalTime>
  <Pages>2</Pages>
  <Words>754</Words>
  <Characters>4149</Characters>
  <Application>Microsoft Office Word</Application>
  <DocSecurity>0</DocSecurity>
  <Lines>34</Lines>
  <Paragraphs>9</Paragraphs>
  <ScaleCrop>false</ScaleCrop>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 Bono</dc:creator>
  <cp:lastModifiedBy>Ana Cabirta</cp:lastModifiedBy>
  <cp:revision>3</cp:revision>
  <dcterms:created xsi:type="dcterms:W3CDTF">2025-09-23T15:20:00Z</dcterms:created>
  <dcterms:modified xsi:type="dcterms:W3CDTF">2025-09-23T15:22:00Z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0x010100D8E81568CB2A4644A7DEBC09171563E8</vt:lpwstr>
  </property>
  <property fmtid="{D5CDD505-2E9C-101B-9397-08002B2CF9AE}" pid="3" name="MSIP_Label_41b88ec2-a72b-4523-9e84-0458a1764731_Enabled">
    <vt:lpwstr>true</vt:lpwstr>
  </property>
  <property fmtid="{D5CDD505-2E9C-101B-9397-08002B2CF9AE}" pid="4" name="MSIP_Label_41b88ec2-a72b-4523-9e84-0458a1764731_SetDate">
    <vt:lpwstr>2022-03-22T10:15:11Z</vt:lpwstr>
  </property>
  <property fmtid="{D5CDD505-2E9C-101B-9397-08002B2CF9AE}" pid="5" name="MSIP_Label_41b88ec2-a72b-4523-9e84-0458a1764731_Method">
    <vt:lpwstr>Privileged</vt:lpwstr>
  </property>
  <property fmtid="{D5CDD505-2E9C-101B-9397-08002B2CF9AE}" pid="6" name="MSIP_Label_41b88ec2-a72b-4523-9e84-0458a1764731_Name">
    <vt:lpwstr>Public O365</vt:lpwstr>
  </property>
  <property fmtid="{D5CDD505-2E9C-101B-9397-08002B2CF9AE}" pid="7" name="MSIP_Label_41b88ec2-a72b-4523-9e84-0458a1764731_SiteId">
    <vt:lpwstr>35595a02-4d6d-44ac-99e1-f9ab4cd872db</vt:lpwstr>
  </property>
  <property fmtid="{D5CDD505-2E9C-101B-9397-08002B2CF9AE}" pid="8" name="MSIP_Label_41b88ec2-a72b-4523-9e84-0458a1764731_ActionId">
    <vt:lpwstr>c68c0c82-23ff-41e7-812e-aa1f309dcdcc</vt:lpwstr>
  </property>
  <property fmtid="{D5CDD505-2E9C-101B-9397-08002B2CF9AE}" pid="9" name="MSIP_Label_41b88ec2-a72b-4523-9e84-0458a1764731_ContentBits">
    <vt:lpwstr>0</vt:lpwstr>
  </property>
  <property fmtid="{D5CDD505-2E9C-101B-9397-08002B2CF9AE}" pid="10" name="MSIP_Label_5781dfe3-6600-4878-ab62-89c56005e52a_Enabled">
    <vt:lpwstr>true</vt:lpwstr>
  </property>
  <property fmtid="{D5CDD505-2E9C-101B-9397-08002B2CF9AE}" pid="11" name="MSIP_Label_5781dfe3-6600-4878-ab62-89c56005e52a_SetDate">
    <vt:lpwstr>2022-03-22T12:05:24Z</vt:lpwstr>
  </property>
  <property fmtid="{D5CDD505-2E9C-101B-9397-08002B2CF9AE}" pid="12" name="MSIP_Label_5781dfe3-6600-4878-ab62-89c56005e52a_Method">
    <vt:lpwstr>Privileged</vt:lpwstr>
  </property>
  <property fmtid="{D5CDD505-2E9C-101B-9397-08002B2CF9AE}" pid="13" name="MSIP_Label_5781dfe3-6600-4878-ab62-89c56005e52a_Name">
    <vt:lpwstr>Confidential</vt:lpwstr>
  </property>
  <property fmtid="{D5CDD505-2E9C-101B-9397-08002B2CF9AE}" pid="14" name="MSIP_Label_5781dfe3-6600-4878-ab62-89c56005e52a_SiteId">
    <vt:lpwstr>106bdeea-f616-4dfc-bc1d-6cbbf45e2011</vt:lpwstr>
  </property>
  <property fmtid="{D5CDD505-2E9C-101B-9397-08002B2CF9AE}" pid="15" name="MSIP_Label_5781dfe3-6600-4878-ab62-89c56005e52a_ActionId">
    <vt:lpwstr>2b124b13-2a55-46cb-8893-cda5e8cc8cd6</vt:lpwstr>
  </property>
  <property fmtid="{D5CDD505-2E9C-101B-9397-08002B2CF9AE}" pid="16" name="MSIP_Label_5781dfe3-6600-4878-ab62-89c56005e52a_ContentBits">
    <vt:lpwstr>0</vt:lpwstr>
  </property>
  <property fmtid="{D5CDD505-2E9C-101B-9397-08002B2CF9AE}" pid="17" name="MediaServiceImageTags">
    <vt:lpwstr/>
  </property>
  <property fmtid="{D5CDD505-2E9C-101B-9397-08002B2CF9AE}" pid="18" name="MSIP_Label_c2c11c9e-624c-4a75-9f78-0989052ff6ea_Enabled">
    <vt:lpwstr>true</vt:lpwstr>
  </property>
  <property fmtid="{D5CDD505-2E9C-101B-9397-08002B2CF9AE}" pid="19" name="MSIP_Label_c2c11c9e-624c-4a75-9f78-0989052ff6ea_SetDate">
    <vt:lpwstr>2023-09-11T07:41:21Z</vt:lpwstr>
  </property>
  <property fmtid="{D5CDD505-2E9C-101B-9397-08002B2CF9AE}" pid="20" name="MSIP_Label_c2c11c9e-624c-4a75-9f78-0989052ff6ea_Method">
    <vt:lpwstr>Privileged</vt:lpwstr>
  </property>
  <property fmtid="{D5CDD505-2E9C-101B-9397-08002B2CF9AE}" pid="21" name="MSIP_Label_c2c11c9e-624c-4a75-9f78-0989052ff6ea_Name">
    <vt:lpwstr>c2c11c9e-624c-4a75-9f78-0989052ff6ea</vt:lpwstr>
  </property>
  <property fmtid="{D5CDD505-2E9C-101B-9397-08002B2CF9AE}" pid="22" name="MSIP_Label_c2c11c9e-624c-4a75-9f78-0989052ff6ea_SiteId">
    <vt:lpwstr>5df31d35-3ba9-481e-a3c8-ff9be3ee783b</vt:lpwstr>
  </property>
  <property fmtid="{D5CDD505-2E9C-101B-9397-08002B2CF9AE}" pid="23" name="MSIP_Label_c2c11c9e-624c-4a75-9f78-0989052ff6ea_ActionId">
    <vt:lpwstr>e9c7add8-8a6f-4830-9b57-c29c611ea79a</vt:lpwstr>
  </property>
  <property fmtid="{D5CDD505-2E9C-101B-9397-08002B2CF9AE}" pid="24" name="MSIP_Label_c2c11c9e-624c-4a75-9f78-0989052ff6ea_ContentBits">
    <vt:lpwstr>0</vt:lpwstr>
  </property>
  <property fmtid="{D5CDD505-2E9C-101B-9397-08002B2CF9AE}" pid="25" name="MSIP_Label_1b7f8449-e5d3-4eba-8da7-ffd6ca5bf3e9_Enabled">
    <vt:lpwstr>true</vt:lpwstr>
  </property>
  <property fmtid="{D5CDD505-2E9C-101B-9397-08002B2CF9AE}" pid="26" name="MSIP_Label_1b7f8449-e5d3-4eba-8da7-ffd6ca5bf3e9_SetDate">
    <vt:lpwstr>2024-09-23T11:29:23Z</vt:lpwstr>
  </property>
  <property fmtid="{D5CDD505-2E9C-101B-9397-08002B2CF9AE}" pid="27" name="MSIP_Label_1b7f8449-e5d3-4eba-8da7-ffd6ca5bf3e9_Method">
    <vt:lpwstr>Privileged</vt:lpwstr>
  </property>
  <property fmtid="{D5CDD505-2E9C-101B-9397-08002B2CF9AE}" pid="28" name="MSIP_Label_1b7f8449-e5d3-4eba-8da7-ffd6ca5bf3e9_Name">
    <vt:lpwstr>1b7f8449-e5d3-4eba-8da7-ffd6ca5bf3e9</vt:lpwstr>
  </property>
  <property fmtid="{D5CDD505-2E9C-101B-9397-08002B2CF9AE}" pid="29" name="MSIP_Label_1b7f8449-e5d3-4eba-8da7-ffd6ca5bf3e9_SiteId">
    <vt:lpwstr>1e9b61e8-e590-4abc-b1af-24125e330d2a</vt:lpwstr>
  </property>
  <property fmtid="{D5CDD505-2E9C-101B-9397-08002B2CF9AE}" pid="30" name="MSIP_Label_1b7f8449-e5d3-4eba-8da7-ffd6ca5bf3e9_ActionId">
    <vt:lpwstr>5847bbfc-01fb-4bcc-b1cb-ea2562e7c424</vt:lpwstr>
  </property>
  <property fmtid="{D5CDD505-2E9C-101B-9397-08002B2CF9AE}" pid="31" name="MSIP_Label_1b7f8449-e5d3-4eba-8da7-ffd6ca5bf3e9_ContentBits">
    <vt:lpwstr>0</vt:lpwstr>
  </property>
  <property fmtid="{D5CDD505-2E9C-101B-9397-08002B2CF9AE}" pid="32" name="db.comClassification">
    <vt:lpwstr>External Communication</vt:lpwstr>
  </property>
  <property fmtid="{D5CDD505-2E9C-101B-9397-08002B2CF9AE}" pid="33" name="ClassificationContentMarkingHeaderShapeIds">
    <vt:lpwstr>6e67d134,18790bf4,39a706f2</vt:lpwstr>
  </property>
  <property fmtid="{D5CDD505-2E9C-101B-9397-08002B2CF9AE}" pid="34" name="ClassificationContentMarkingHeaderFontProps">
    <vt:lpwstr>#808080,10,Calibri</vt:lpwstr>
  </property>
  <property fmtid="{D5CDD505-2E9C-101B-9397-08002B2CF9AE}" pid="35" name="ClassificationContentMarkingHeaderText">
    <vt:lpwstr>Corporate Use</vt:lpwstr>
  </property>
  <property fmtid="{D5CDD505-2E9C-101B-9397-08002B2CF9AE}" pid="36" name="MSIP_Label_9b5154d6-21c1-415b-b061-7427a4708b37_Enabled">
    <vt:lpwstr>true</vt:lpwstr>
  </property>
  <property fmtid="{D5CDD505-2E9C-101B-9397-08002B2CF9AE}" pid="37" name="MSIP_Label_9b5154d6-21c1-415b-b061-7427a4708b37_SetDate">
    <vt:lpwstr>2025-06-04T13:31:42Z</vt:lpwstr>
  </property>
  <property fmtid="{D5CDD505-2E9C-101B-9397-08002B2CF9AE}" pid="38" name="MSIP_Label_9b5154d6-21c1-415b-b061-7427a4708b37_Method">
    <vt:lpwstr>Privileged</vt:lpwstr>
  </property>
  <property fmtid="{D5CDD505-2E9C-101B-9397-08002B2CF9AE}" pid="39" name="MSIP_Label_9b5154d6-21c1-415b-b061-7427a4708b37_Name">
    <vt:lpwstr>Default Corporate Use</vt:lpwstr>
  </property>
  <property fmtid="{D5CDD505-2E9C-101B-9397-08002B2CF9AE}" pid="40" name="MSIP_Label_9b5154d6-21c1-415b-b061-7427a4708b37_SiteId">
    <vt:lpwstr>0b96d5d2-d153-4370-a2c7-8a926f24c8a1</vt:lpwstr>
  </property>
  <property fmtid="{D5CDD505-2E9C-101B-9397-08002B2CF9AE}" pid="41" name="MSIP_Label_9b5154d6-21c1-415b-b061-7427a4708b37_ActionId">
    <vt:lpwstr>e2a88cb8-16ae-444b-bdfe-27c541fb0c81</vt:lpwstr>
  </property>
  <property fmtid="{D5CDD505-2E9C-101B-9397-08002B2CF9AE}" pid="42" name="MSIP_Label_9b5154d6-21c1-415b-b061-7427a4708b37_ContentBits">
    <vt:lpwstr>1</vt:lpwstr>
  </property>
  <property fmtid="{D5CDD505-2E9C-101B-9397-08002B2CF9AE}" pid="43" name="MSIP_Label_9b5154d6-21c1-415b-b061-7427a4708b37_Tag">
    <vt:lpwstr>10, 0, 1, 1</vt:lpwstr>
  </property>
  <property fmtid="{D5CDD505-2E9C-101B-9397-08002B2CF9AE}" pid="44" name="ClassificationContentMarkingFooterShapeIds">
    <vt:lpwstr>a681e19,68ff7b09,3730050</vt:lpwstr>
  </property>
  <property fmtid="{D5CDD505-2E9C-101B-9397-08002B2CF9AE}" pid="45" name="ClassificationContentMarkingFooterFontProps">
    <vt:lpwstr>#000000,8,Arial</vt:lpwstr>
  </property>
  <property fmtid="{D5CDD505-2E9C-101B-9397-08002B2CF9AE}" pid="46" name="ClassificationContentMarkingFooterText">
    <vt:lpwstr>Uso Interno. Prohibida su difusión sin consentimiento por escrito de Banco de Sabadell, S.A.</vt:lpwstr>
  </property>
</Properties>
</file>